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6DCA9D" w14:textId="43582B4D" w:rsidR="00941D96" w:rsidRPr="00C06B27" w:rsidRDefault="009528AE" w:rsidP="00CB3002">
      <w:pPr>
        <w:rPr>
          <w:rFonts w:cs="Arial"/>
          <w:b/>
          <w:sz w:val="22"/>
          <w:szCs w:val="22"/>
          <w:u w:val="single"/>
        </w:rPr>
      </w:pPr>
      <w:r w:rsidRPr="00C06B27">
        <w:rPr>
          <w:rFonts w:cs="Arial"/>
          <w:b/>
          <w:sz w:val="22"/>
          <w:szCs w:val="22"/>
          <w:u w:val="single"/>
        </w:rPr>
        <w:t>Efficiency Plan</w:t>
      </w:r>
      <w:r w:rsidR="00941D96" w:rsidRPr="00C06B27">
        <w:rPr>
          <w:rFonts w:cs="Arial"/>
          <w:b/>
          <w:sz w:val="22"/>
          <w:szCs w:val="22"/>
          <w:u w:val="single"/>
        </w:rPr>
        <w:t xml:space="preserve"> 2016/17 – 2019/20</w:t>
      </w:r>
    </w:p>
    <w:p w14:paraId="7502A9FF" w14:textId="77777777" w:rsidR="00CB3002" w:rsidRPr="00C06B27" w:rsidRDefault="009528AE" w:rsidP="00CB3002">
      <w:pPr>
        <w:rPr>
          <w:rFonts w:cs="Arial"/>
          <w:b/>
          <w:sz w:val="22"/>
          <w:szCs w:val="22"/>
          <w:u w:val="single"/>
        </w:rPr>
      </w:pPr>
      <w:r w:rsidRPr="00C06B27">
        <w:rPr>
          <w:rFonts w:cs="Arial"/>
          <w:b/>
          <w:sz w:val="22"/>
          <w:szCs w:val="22"/>
          <w:u w:val="single"/>
        </w:rPr>
        <w:t>South Lakeland District Council September 2016</w:t>
      </w:r>
    </w:p>
    <w:p w14:paraId="024087FD" w14:textId="1DA1A386" w:rsidR="009528AE" w:rsidRPr="00C06B27" w:rsidRDefault="00941D96" w:rsidP="00CB3002">
      <w:pPr>
        <w:rPr>
          <w:rFonts w:cs="Arial"/>
          <w:sz w:val="22"/>
          <w:szCs w:val="22"/>
        </w:rPr>
      </w:pPr>
      <w:r w:rsidRPr="00C06B27">
        <w:rPr>
          <w:rFonts w:cs="Arial"/>
          <w:sz w:val="22"/>
          <w:szCs w:val="22"/>
        </w:rPr>
        <w:t>Th</w:t>
      </w:r>
      <w:r w:rsidR="00722893" w:rsidRPr="00C06B27">
        <w:rPr>
          <w:rFonts w:cs="Arial"/>
          <w:sz w:val="22"/>
          <w:szCs w:val="22"/>
        </w:rPr>
        <w:t>is efficiency plan has been</w:t>
      </w:r>
      <w:r w:rsidRPr="00C06B27">
        <w:rPr>
          <w:rFonts w:cs="Arial"/>
          <w:sz w:val="22"/>
          <w:szCs w:val="22"/>
        </w:rPr>
        <w:t xml:space="preserve"> prepared in response to the Government’s invitation for a 4-year funding settlement f</w:t>
      </w:r>
      <w:r w:rsidR="00CB2FF3">
        <w:rPr>
          <w:rFonts w:cs="Arial"/>
          <w:sz w:val="22"/>
          <w:szCs w:val="22"/>
        </w:rPr>
        <w:t>or the period 2016/17 – 2019/20 and was approved by Council on 22 September 2016.</w:t>
      </w:r>
    </w:p>
    <w:p w14:paraId="00AD9B34" w14:textId="5D0A838C" w:rsidR="0020252E" w:rsidRDefault="00941D96" w:rsidP="00CB3002">
      <w:pPr>
        <w:rPr>
          <w:rFonts w:cs="Arial"/>
          <w:color w:val="FF0000"/>
          <w:sz w:val="16"/>
          <w:szCs w:val="22"/>
        </w:rPr>
      </w:pPr>
      <w:r w:rsidRPr="00C06B27">
        <w:rPr>
          <w:rFonts w:cs="Arial"/>
          <w:sz w:val="22"/>
          <w:szCs w:val="22"/>
        </w:rPr>
        <w:t xml:space="preserve">The four-year settlement is important to the medium term financial stability of the Council although it only relates to certain elements of funding: Revenue Support Grant, Transitional Grant and Rural Services Delivery Grant.  It supports the Medium Term Financial Plan </w:t>
      </w:r>
      <w:r w:rsidR="00F810E6">
        <w:rPr>
          <w:rFonts w:cs="Arial"/>
          <w:sz w:val="22"/>
          <w:szCs w:val="22"/>
        </w:rPr>
        <w:t xml:space="preserve">(MTFP) </w:t>
      </w:r>
      <w:bookmarkStart w:id="0" w:name="_GoBack"/>
      <w:bookmarkEnd w:id="0"/>
      <w:r w:rsidRPr="00C06B27">
        <w:rPr>
          <w:rFonts w:cs="Arial"/>
          <w:sz w:val="22"/>
          <w:szCs w:val="22"/>
        </w:rPr>
        <w:t>approved by Council in July 2</w:t>
      </w:r>
      <w:r w:rsidR="00722893" w:rsidRPr="00C06B27">
        <w:rPr>
          <w:rFonts w:cs="Arial"/>
          <w:sz w:val="22"/>
          <w:szCs w:val="22"/>
        </w:rPr>
        <w:t>016</w:t>
      </w:r>
      <w:r w:rsidR="001321F0" w:rsidRPr="00C06B27">
        <w:rPr>
          <w:rFonts w:cs="Arial"/>
          <w:sz w:val="22"/>
          <w:szCs w:val="22"/>
        </w:rPr>
        <w:t xml:space="preserve">.  The Council prepares a Medium Term Financial Plan which is refreshed during the year as circumstances change.  The financial model is currently for the four years to 2019/20 and will be extended to 2021/22 during the 2017/18 budget process.  Through sound financial planning the Council is on track to balance the Council’s budget for 2017/18 and have a savings process in place to identify savings required to balance budgets to </w:t>
      </w:r>
      <w:r w:rsidR="00C7622A">
        <w:rPr>
          <w:rFonts w:cs="Arial"/>
          <w:sz w:val="22"/>
          <w:szCs w:val="22"/>
        </w:rPr>
        <w:t xml:space="preserve">2019/20.  </w:t>
      </w:r>
      <w:hyperlink r:id="rId11" w:history="1">
        <w:r w:rsidR="00C7622A" w:rsidRPr="00C7622A">
          <w:rPr>
            <w:rStyle w:val="Hyperlink"/>
            <w:rFonts w:cs="Arial"/>
            <w:sz w:val="22"/>
            <w:szCs w:val="22"/>
          </w:rPr>
          <w:t>The latest MTFP</w:t>
        </w:r>
      </w:hyperlink>
      <w:r w:rsidR="00C7622A">
        <w:rPr>
          <w:rFonts w:cs="Arial"/>
          <w:sz w:val="22"/>
          <w:szCs w:val="22"/>
        </w:rPr>
        <w:t xml:space="preserve"> </w:t>
      </w:r>
      <w:r w:rsidR="003A0D77" w:rsidRPr="003A0D77">
        <w:rPr>
          <w:rFonts w:cs="Arial"/>
          <w:sz w:val="22"/>
          <w:szCs w:val="22"/>
        </w:rPr>
        <w:t>shows the Council has to find just under £1m of savings by 2019/20:</w:t>
      </w:r>
    </w:p>
    <w:tbl>
      <w:tblPr>
        <w:tblW w:w="9522" w:type="dxa"/>
        <w:tblLook w:val="04A0" w:firstRow="1" w:lastRow="0" w:firstColumn="1" w:lastColumn="0" w:noHBand="0" w:noVBand="1"/>
      </w:tblPr>
      <w:tblGrid>
        <w:gridCol w:w="4820"/>
        <w:gridCol w:w="222"/>
        <w:gridCol w:w="1120"/>
        <w:gridCol w:w="1120"/>
        <w:gridCol w:w="1120"/>
        <w:gridCol w:w="1120"/>
      </w:tblGrid>
      <w:tr w:rsidR="003A0D77" w:rsidRPr="003A0D77" w14:paraId="2F386C72" w14:textId="77777777" w:rsidTr="003A0D77">
        <w:trPr>
          <w:trHeight w:val="315"/>
        </w:trPr>
        <w:tc>
          <w:tcPr>
            <w:tcW w:w="5042" w:type="dxa"/>
            <w:gridSpan w:val="2"/>
            <w:tcBorders>
              <w:top w:val="nil"/>
              <w:left w:val="nil"/>
              <w:bottom w:val="nil"/>
              <w:right w:val="nil"/>
            </w:tcBorders>
            <w:shd w:val="clear" w:color="auto" w:fill="auto"/>
            <w:noWrap/>
            <w:vAlign w:val="center"/>
            <w:hideMark/>
          </w:tcPr>
          <w:p w14:paraId="1F27C667" w14:textId="77777777" w:rsidR="003A0D77" w:rsidRPr="003A0D77" w:rsidRDefault="003A0D77" w:rsidP="003A0D77">
            <w:pPr>
              <w:spacing w:after="0"/>
              <w:rPr>
                <w:rFonts w:ascii="Calibri" w:hAnsi="Calibri"/>
                <w:b/>
                <w:bCs/>
                <w:color w:val="000000"/>
                <w:sz w:val="20"/>
                <w:szCs w:val="24"/>
                <w:u w:val="single"/>
                <w:lang w:eastAsia="en-GB"/>
              </w:rPr>
            </w:pPr>
            <w:r w:rsidRPr="003A0D77">
              <w:rPr>
                <w:rFonts w:ascii="Calibri" w:hAnsi="Calibri"/>
                <w:b/>
                <w:bCs/>
                <w:color w:val="000000"/>
                <w:sz w:val="20"/>
                <w:szCs w:val="24"/>
                <w:u w:val="single"/>
                <w:lang w:eastAsia="en-GB"/>
              </w:rPr>
              <w:t>Medium Term Financial Plan: Financial Model July 2016</w:t>
            </w:r>
          </w:p>
        </w:tc>
        <w:tc>
          <w:tcPr>
            <w:tcW w:w="1120" w:type="dxa"/>
            <w:tcBorders>
              <w:top w:val="nil"/>
              <w:left w:val="nil"/>
              <w:bottom w:val="nil"/>
              <w:right w:val="nil"/>
            </w:tcBorders>
            <w:shd w:val="clear" w:color="auto" w:fill="auto"/>
            <w:vAlign w:val="center"/>
            <w:hideMark/>
          </w:tcPr>
          <w:p w14:paraId="53F323D8" w14:textId="77777777" w:rsidR="003A0D77" w:rsidRPr="003A0D77" w:rsidRDefault="003A0D77" w:rsidP="003A0D77">
            <w:pPr>
              <w:spacing w:after="0"/>
              <w:jc w:val="center"/>
              <w:rPr>
                <w:rFonts w:cs="Arial"/>
                <w:b/>
                <w:bCs/>
                <w:color w:val="000000"/>
                <w:sz w:val="20"/>
                <w:lang w:eastAsia="en-GB"/>
              </w:rPr>
            </w:pPr>
            <w:r w:rsidRPr="003A0D77">
              <w:rPr>
                <w:rFonts w:cs="Arial"/>
                <w:b/>
                <w:bCs/>
                <w:color w:val="000000"/>
                <w:sz w:val="20"/>
                <w:lang w:eastAsia="en-GB"/>
              </w:rPr>
              <w:t>2016/17</w:t>
            </w:r>
          </w:p>
        </w:tc>
        <w:tc>
          <w:tcPr>
            <w:tcW w:w="1120" w:type="dxa"/>
            <w:tcBorders>
              <w:top w:val="nil"/>
              <w:left w:val="nil"/>
              <w:bottom w:val="nil"/>
              <w:right w:val="nil"/>
            </w:tcBorders>
            <w:shd w:val="clear" w:color="auto" w:fill="auto"/>
            <w:vAlign w:val="center"/>
            <w:hideMark/>
          </w:tcPr>
          <w:p w14:paraId="31B2F8A3" w14:textId="77777777" w:rsidR="003A0D77" w:rsidRPr="003A0D77" w:rsidRDefault="003A0D77" w:rsidP="003A0D77">
            <w:pPr>
              <w:spacing w:after="0"/>
              <w:jc w:val="center"/>
              <w:rPr>
                <w:rFonts w:cs="Arial"/>
                <w:b/>
                <w:bCs/>
                <w:color w:val="000000"/>
                <w:sz w:val="20"/>
                <w:lang w:eastAsia="en-GB"/>
              </w:rPr>
            </w:pPr>
            <w:r w:rsidRPr="003A0D77">
              <w:rPr>
                <w:rFonts w:cs="Arial"/>
                <w:b/>
                <w:bCs/>
                <w:color w:val="000000"/>
                <w:sz w:val="20"/>
                <w:lang w:eastAsia="en-GB"/>
              </w:rPr>
              <w:t>2017/18</w:t>
            </w:r>
          </w:p>
        </w:tc>
        <w:tc>
          <w:tcPr>
            <w:tcW w:w="1120" w:type="dxa"/>
            <w:tcBorders>
              <w:top w:val="nil"/>
              <w:left w:val="nil"/>
              <w:bottom w:val="nil"/>
              <w:right w:val="nil"/>
            </w:tcBorders>
            <w:shd w:val="clear" w:color="auto" w:fill="auto"/>
            <w:vAlign w:val="center"/>
            <w:hideMark/>
          </w:tcPr>
          <w:p w14:paraId="39F95B3C" w14:textId="77777777" w:rsidR="003A0D77" w:rsidRPr="003A0D77" w:rsidRDefault="003A0D77" w:rsidP="003A0D77">
            <w:pPr>
              <w:spacing w:after="0"/>
              <w:jc w:val="center"/>
              <w:rPr>
                <w:rFonts w:cs="Arial"/>
                <w:b/>
                <w:bCs/>
                <w:color w:val="000000"/>
                <w:sz w:val="20"/>
                <w:lang w:eastAsia="en-GB"/>
              </w:rPr>
            </w:pPr>
            <w:r w:rsidRPr="003A0D77">
              <w:rPr>
                <w:rFonts w:cs="Arial"/>
                <w:b/>
                <w:bCs/>
                <w:color w:val="000000"/>
                <w:sz w:val="20"/>
                <w:lang w:eastAsia="en-GB"/>
              </w:rPr>
              <w:t>2018/19</w:t>
            </w:r>
          </w:p>
        </w:tc>
        <w:tc>
          <w:tcPr>
            <w:tcW w:w="1120" w:type="dxa"/>
            <w:tcBorders>
              <w:top w:val="nil"/>
              <w:left w:val="nil"/>
              <w:bottom w:val="nil"/>
              <w:right w:val="nil"/>
            </w:tcBorders>
            <w:shd w:val="clear" w:color="auto" w:fill="auto"/>
            <w:vAlign w:val="center"/>
            <w:hideMark/>
          </w:tcPr>
          <w:p w14:paraId="2E2DD45B" w14:textId="77777777" w:rsidR="003A0D77" w:rsidRPr="003A0D77" w:rsidRDefault="003A0D77" w:rsidP="003A0D77">
            <w:pPr>
              <w:spacing w:after="0"/>
              <w:jc w:val="center"/>
              <w:rPr>
                <w:rFonts w:cs="Arial"/>
                <w:b/>
                <w:bCs/>
                <w:color w:val="000000"/>
                <w:sz w:val="20"/>
                <w:lang w:eastAsia="en-GB"/>
              </w:rPr>
            </w:pPr>
            <w:r w:rsidRPr="003A0D77">
              <w:rPr>
                <w:rFonts w:cs="Arial"/>
                <w:b/>
                <w:bCs/>
                <w:color w:val="000000"/>
                <w:sz w:val="20"/>
                <w:lang w:eastAsia="en-GB"/>
              </w:rPr>
              <w:t>2019/20</w:t>
            </w:r>
          </w:p>
        </w:tc>
      </w:tr>
      <w:tr w:rsidR="003A0D77" w:rsidRPr="003A0D77" w14:paraId="66A53222" w14:textId="77777777" w:rsidTr="003A0D77">
        <w:trPr>
          <w:trHeight w:val="300"/>
        </w:trPr>
        <w:tc>
          <w:tcPr>
            <w:tcW w:w="4820" w:type="dxa"/>
            <w:tcBorders>
              <w:top w:val="nil"/>
              <w:left w:val="nil"/>
              <w:bottom w:val="nil"/>
              <w:right w:val="nil"/>
            </w:tcBorders>
            <w:shd w:val="clear" w:color="auto" w:fill="auto"/>
            <w:noWrap/>
            <w:vAlign w:val="center"/>
            <w:hideMark/>
          </w:tcPr>
          <w:p w14:paraId="22A50C89" w14:textId="77777777" w:rsidR="003A0D77" w:rsidRPr="003A0D77" w:rsidRDefault="003A0D77" w:rsidP="003A0D77">
            <w:pPr>
              <w:spacing w:after="0"/>
              <w:jc w:val="center"/>
              <w:rPr>
                <w:rFonts w:cs="Arial"/>
                <w:b/>
                <w:bCs/>
                <w:color w:val="000000"/>
                <w:sz w:val="20"/>
                <w:lang w:eastAsia="en-GB"/>
              </w:rPr>
            </w:pPr>
          </w:p>
        </w:tc>
        <w:tc>
          <w:tcPr>
            <w:tcW w:w="222" w:type="dxa"/>
            <w:tcBorders>
              <w:top w:val="nil"/>
              <w:left w:val="nil"/>
              <w:bottom w:val="nil"/>
              <w:right w:val="nil"/>
            </w:tcBorders>
            <w:shd w:val="clear" w:color="auto" w:fill="auto"/>
            <w:noWrap/>
            <w:vAlign w:val="center"/>
            <w:hideMark/>
          </w:tcPr>
          <w:p w14:paraId="30DEA34F" w14:textId="77777777" w:rsidR="003A0D77" w:rsidRPr="003A0D77" w:rsidRDefault="003A0D77" w:rsidP="003A0D77">
            <w:pPr>
              <w:spacing w:after="0"/>
              <w:rPr>
                <w:rFonts w:ascii="Times New Roman" w:hAnsi="Times New Roman"/>
                <w:sz w:val="20"/>
                <w:lang w:eastAsia="en-GB"/>
              </w:rPr>
            </w:pPr>
          </w:p>
        </w:tc>
        <w:tc>
          <w:tcPr>
            <w:tcW w:w="1120" w:type="dxa"/>
            <w:tcBorders>
              <w:top w:val="nil"/>
              <w:left w:val="nil"/>
              <w:bottom w:val="nil"/>
              <w:right w:val="nil"/>
            </w:tcBorders>
            <w:shd w:val="clear" w:color="auto" w:fill="auto"/>
            <w:noWrap/>
            <w:vAlign w:val="center"/>
            <w:hideMark/>
          </w:tcPr>
          <w:p w14:paraId="682BE8BC" w14:textId="77777777" w:rsidR="003A0D77" w:rsidRPr="003A0D77" w:rsidRDefault="003A0D77" w:rsidP="003A0D77">
            <w:pPr>
              <w:spacing w:after="0"/>
              <w:jc w:val="center"/>
              <w:rPr>
                <w:rFonts w:cs="Arial"/>
                <w:b/>
                <w:bCs/>
                <w:color w:val="000000"/>
                <w:sz w:val="20"/>
                <w:lang w:eastAsia="en-GB"/>
              </w:rPr>
            </w:pPr>
            <w:r w:rsidRPr="003A0D77">
              <w:rPr>
                <w:rFonts w:cs="Arial"/>
                <w:b/>
                <w:bCs/>
                <w:color w:val="000000"/>
                <w:sz w:val="20"/>
                <w:lang w:eastAsia="en-GB"/>
              </w:rPr>
              <w:t>£000</w:t>
            </w:r>
          </w:p>
        </w:tc>
        <w:tc>
          <w:tcPr>
            <w:tcW w:w="1120" w:type="dxa"/>
            <w:tcBorders>
              <w:top w:val="nil"/>
              <w:left w:val="nil"/>
              <w:bottom w:val="nil"/>
              <w:right w:val="nil"/>
            </w:tcBorders>
            <w:shd w:val="clear" w:color="auto" w:fill="auto"/>
            <w:noWrap/>
            <w:vAlign w:val="center"/>
            <w:hideMark/>
          </w:tcPr>
          <w:p w14:paraId="778C68BB" w14:textId="77777777" w:rsidR="003A0D77" w:rsidRPr="003A0D77" w:rsidRDefault="003A0D77" w:rsidP="003A0D77">
            <w:pPr>
              <w:spacing w:after="0"/>
              <w:jc w:val="center"/>
              <w:rPr>
                <w:rFonts w:cs="Arial"/>
                <w:b/>
                <w:bCs/>
                <w:color w:val="000000"/>
                <w:sz w:val="20"/>
                <w:lang w:eastAsia="en-GB"/>
              </w:rPr>
            </w:pPr>
            <w:r w:rsidRPr="003A0D77">
              <w:rPr>
                <w:rFonts w:cs="Arial"/>
                <w:b/>
                <w:bCs/>
                <w:color w:val="000000"/>
                <w:sz w:val="20"/>
                <w:lang w:eastAsia="en-GB"/>
              </w:rPr>
              <w:t>£000</w:t>
            </w:r>
          </w:p>
        </w:tc>
        <w:tc>
          <w:tcPr>
            <w:tcW w:w="1120" w:type="dxa"/>
            <w:tcBorders>
              <w:top w:val="nil"/>
              <w:left w:val="nil"/>
              <w:bottom w:val="nil"/>
              <w:right w:val="nil"/>
            </w:tcBorders>
            <w:shd w:val="clear" w:color="auto" w:fill="auto"/>
            <w:noWrap/>
            <w:vAlign w:val="center"/>
            <w:hideMark/>
          </w:tcPr>
          <w:p w14:paraId="609AD879" w14:textId="77777777" w:rsidR="003A0D77" w:rsidRPr="003A0D77" w:rsidRDefault="003A0D77" w:rsidP="003A0D77">
            <w:pPr>
              <w:spacing w:after="0"/>
              <w:jc w:val="center"/>
              <w:rPr>
                <w:rFonts w:cs="Arial"/>
                <w:b/>
                <w:bCs/>
                <w:color w:val="000000"/>
                <w:sz w:val="20"/>
                <w:lang w:eastAsia="en-GB"/>
              </w:rPr>
            </w:pPr>
            <w:r w:rsidRPr="003A0D77">
              <w:rPr>
                <w:rFonts w:cs="Arial"/>
                <w:b/>
                <w:bCs/>
                <w:color w:val="000000"/>
                <w:sz w:val="20"/>
                <w:lang w:eastAsia="en-GB"/>
              </w:rPr>
              <w:t>£000</w:t>
            </w:r>
          </w:p>
        </w:tc>
        <w:tc>
          <w:tcPr>
            <w:tcW w:w="1120" w:type="dxa"/>
            <w:tcBorders>
              <w:top w:val="nil"/>
              <w:left w:val="nil"/>
              <w:bottom w:val="nil"/>
              <w:right w:val="nil"/>
            </w:tcBorders>
            <w:shd w:val="clear" w:color="auto" w:fill="auto"/>
            <w:noWrap/>
            <w:vAlign w:val="center"/>
            <w:hideMark/>
          </w:tcPr>
          <w:p w14:paraId="2F6F949E" w14:textId="77777777" w:rsidR="003A0D77" w:rsidRPr="003A0D77" w:rsidRDefault="003A0D77" w:rsidP="003A0D77">
            <w:pPr>
              <w:spacing w:after="0"/>
              <w:jc w:val="center"/>
              <w:rPr>
                <w:rFonts w:cs="Arial"/>
                <w:b/>
                <w:bCs/>
                <w:color w:val="000000"/>
                <w:sz w:val="20"/>
                <w:lang w:eastAsia="en-GB"/>
              </w:rPr>
            </w:pPr>
            <w:r w:rsidRPr="003A0D77">
              <w:rPr>
                <w:rFonts w:cs="Arial"/>
                <w:b/>
                <w:bCs/>
                <w:color w:val="000000"/>
                <w:sz w:val="20"/>
                <w:lang w:eastAsia="en-GB"/>
              </w:rPr>
              <w:t>£000</w:t>
            </w:r>
          </w:p>
        </w:tc>
      </w:tr>
      <w:tr w:rsidR="003A0D77" w:rsidRPr="003A0D77" w14:paraId="750041C2" w14:textId="77777777" w:rsidTr="003A0D77">
        <w:trPr>
          <w:trHeight w:val="300"/>
        </w:trPr>
        <w:tc>
          <w:tcPr>
            <w:tcW w:w="4820" w:type="dxa"/>
            <w:tcBorders>
              <w:top w:val="nil"/>
              <w:left w:val="nil"/>
              <w:bottom w:val="nil"/>
              <w:right w:val="nil"/>
            </w:tcBorders>
            <w:shd w:val="clear" w:color="auto" w:fill="auto"/>
            <w:noWrap/>
            <w:vAlign w:val="center"/>
            <w:hideMark/>
          </w:tcPr>
          <w:p w14:paraId="6A814027" w14:textId="77777777" w:rsidR="003A0D77" w:rsidRPr="003A0D77" w:rsidRDefault="003A0D77" w:rsidP="003A0D77">
            <w:pPr>
              <w:spacing w:after="0"/>
              <w:rPr>
                <w:rFonts w:ascii="Calibri" w:hAnsi="Calibri"/>
                <w:color w:val="000000"/>
                <w:sz w:val="20"/>
                <w:szCs w:val="22"/>
                <w:lang w:eastAsia="en-GB"/>
              </w:rPr>
            </w:pPr>
            <w:r w:rsidRPr="003A0D77">
              <w:rPr>
                <w:rFonts w:ascii="Calibri" w:hAnsi="Calibri"/>
                <w:color w:val="000000"/>
                <w:sz w:val="20"/>
                <w:szCs w:val="22"/>
                <w:lang w:eastAsia="en-GB"/>
              </w:rPr>
              <w:t>Service Expenditure</w:t>
            </w:r>
          </w:p>
        </w:tc>
        <w:tc>
          <w:tcPr>
            <w:tcW w:w="222" w:type="dxa"/>
            <w:tcBorders>
              <w:top w:val="nil"/>
              <w:left w:val="nil"/>
              <w:bottom w:val="nil"/>
              <w:right w:val="nil"/>
            </w:tcBorders>
            <w:shd w:val="clear" w:color="auto" w:fill="auto"/>
            <w:noWrap/>
            <w:vAlign w:val="center"/>
            <w:hideMark/>
          </w:tcPr>
          <w:p w14:paraId="7B871765" w14:textId="77777777" w:rsidR="003A0D77" w:rsidRPr="003A0D77" w:rsidRDefault="003A0D77" w:rsidP="003A0D77">
            <w:pPr>
              <w:spacing w:after="0"/>
              <w:rPr>
                <w:rFonts w:ascii="Calibri" w:hAnsi="Calibri"/>
                <w:color w:val="000000"/>
                <w:sz w:val="20"/>
                <w:szCs w:val="22"/>
                <w:lang w:eastAsia="en-GB"/>
              </w:rPr>
            </w:pPr>
          </w:p>
        </w:tc>
        <w:tc>
          <w:tcPr>
            <w:tcW w:w="1120" w:type="dxa"/>
            <w:tcBorders>
              <w:top w:val="nil"/>
              <w:left w:val="nil"/>
              <w:bottom w:val="nil"/>
              <w:right w:val="nil"/>
            </w:tcBorders>
            <w:shd w:val="clear" w:color="auto" w:fill="auto"/>
            <w:noWrap/>
            <w:vAlign w:val="center"/>
            <w:hideMark/>
          </w:tcPr>
          <w:p w14:paraId="089967DE" w14:textId="77777777" w:rsidR="003A0D77" w:rsidRPr="003A0D77" w:rsidRDefault="003A0D77" w:rsidP="003A0D77">
            <w:pPr>
              <w:spacing w:after="0"/>
              <w:jc w:val="right"/>
              <w:rPr>
                <w:rFonts w:ascii="Calibri" w:hAnsi="Calibri"/>
                <w:color w:val="000000"/>
                <w:sz w:val="20"/>
                <w:szCs w:val="22"/>
                <w:lang w:eastAsia="en-GB"/>
              </w:rPr>
            </w:pPr>
            <w:r w:rsidRPr="003A0D77">
              <w:rPr>
                <w:rFonts w:ascii="Calibri" w:hAnsi="Calibri"/>
                <w:color w:val="000000"/>
                <w:sz w:val="20"/>
                <w:szCs w:val="22"/>
                <w:lang w:eastAsia="en-GB"/>
              </w:rPr>
              <w:t>30,085.2</w:t>
            </w:r>
          </w:p>
        </w:tc>
        <w:tc>
          <w:tcPr>
            <w:tcW w:w="1120" w:type="dxa"/>
            <w:tcBorders>
              <w:top w:val="nil"/>
              <w:left w:val="nil"/>
              <w:bottom w:val="nil"/>
              <w:right w:val="nil"/>
            </w:tcBorders>
            <w:shd w:val="clear" w:color="auto" w:fill="auto"/>
            <w:noWrap/>
            <w:vAlign w:val="center"/>
            <w:hideMark/>
          </w:tcPr>
          <w:p w14:paraId="003271F7" w14:textId="77777777" w:rsidR="003A0D77" w:rsidRPr="003A0D77" w:rsidRDefault="003A0D77" w:rsidP="003A0D77">
            <w:pPr>
              <w:spacing w:after="0"/>
              <w:jc w:val="right"/>
              <w:rPr>
                <w:rFonts w:ascii="Calibri" w:hAnsi="Calibri"/>
                <w:color w:val="000000"/>
                <w:sz w:val="20"/>
                <w:szCs w:val="22"/>
                <w:lang w:eastAsia="en-GB"/>
              </w:rPr>
            </w:pPr>
            <w:r w:rsidRPr="003A0D77">
              <w:rPr>
                <w:rFonts w:ascii="Calibri" w:hAnsi="Calibri"/>
                <w:color w:val="000000"/>
                <w:sz w:val="20"/>
                <w:szCs w:val="22"/>
                <w:lang w:eastAsia="en-GB"/>
              </w:rPr>
              <w:t>28,254.3</w:t>
            </w:r>
          </w:p>
        </w:tc>
        <w:tc>
          <w:tcPr>
            <w:tcW w:w="1120" w:type="dxa"/>
            <w:tcBorders>
              <w:top w:val="nil"/>
              <w:left w:val="nil"/>
              <w:bottom w:val="nil"/>
              <w:right w:val="nil"/>
            </w:tcBorders>
            <w:shd w:val="clear" w:color="auto" w:fill="auto"/>
            <w:noWrap/>
            <w:vAlign w:val="center"/>
            <w:hideMark/>
          </w:tcPr>
          <w:p w14:paraId="2A4ABAB1" w14:textId="77777777" w:rsidR="003A0D77" w:rsidRPr="003A0D77" w:rsidRDefault="003A0D77" w:rsidP="003A0D77">
            <w:pPr>
              <w:spacing w:after="0"/>
              <w:jc w:val="right"/>
              <w:rPr>
                <w:rFonts w:ascii="Calibri" w:hAnsi="Calibri"/>
                <w:color w:val="000000"/>
                <w:sz w:val="20"/>
                <w:szCs w:val="22"/>
                <w:lang w:eastAsia="en-GB"/>
              </w:rPr>
            </w:pPr>
            <w:r w:rsidRPr="003A0D77">
              <w:rPr>
                <w:rFonts w:ascii="Calibri" w:hAnsi="Calibri"/>
                <w:color w:val="000000"/>
                <w:sz w:val="20"/>
                <w:szCs w:val="22"/>
                <w:lang w:eastAsia="en-GB"/>
              </w:rPr>
              <w:t>27,506.7</w:t>
            </w:r>
          </w:p>
        </w:tc>
        <w:tc>
          <w:tcPr>
            <w:tcW w:w="1120" w:type="dxa"/>
            <w:tcBorders>
              <w:top w:val="nil"/>
              <w:left w:val="nil"/>
              <w:bottom w:val="nil"/>
              <w:right w:val="nil"/>
            </w:tcBorders>
            <w:shd w:val="clear" w:color="auto" w:fill="auto"/>
            <w:noWrap/>
            <w:vAlign w:val="center"/>
            <w:hideMark/>
          </w:tcPr>
          <w:p w14:paraId="0FE8E75B" w14:textId="77777777" w:rsidR="003A0D77" w:rsidRPr="003A0D77" w:rsidRDefault="003A0D77" w:rsidP="003A0D77">
            <w:pPr>
              <w:spacing w:after="0"/>
              <w:jc w:val="right"/>
              <w:rPr>
                <w:rFonts w:ascii="Calibri" w:hAnsi="Calibri"/>
                <w:color w:val="000000"/>
                <w:sz w:val="20"/>
                <w:szCs w:val="22"/>
                <w:lang w:eastAsia="en-GB"/>
              </w:rPr>
            </w:pPr>
            <w:r w:rsidRPr="003A0D77">
              <w:rPr>
                <w:rFonts w:ascii="Calibri" w:hAnsi="Calibri"/>
                <w:color w:val="000000"/>
                <w:sz w:val="20"/>
                <w:szCs w:val="22"/>
                <w:lang w:eastAsia="en-GB"/>
              </w:rPr>
              <w:t>27,527.3</w:t>
            </w:r>
          </w:p>
        </w:tc>
      </w:tr>
      <w:tr w:rsidR="003A0D77" w:rsidRPr="003A0D77" w14:paraId="66441E51" w14:textId="77777777" w:rsidTr="003A0D77">
        <w:trPr>
          <w:trHeight w:val="300"/>
        </w:trPr>
        <w:tc>
          <w:tcPr>
            <w:tcW w:w="4820" w:type="dxa"/>
            <w:tcBorders>
              <w:top w:val="nil"/>
              <w:left w:val="nil"/>
              <w:bottom w:val="nil"/>
              <w:right w:val="nil"/>
            </w:tcBorders>
            <w:shd w:val="clear" w:color="auto" w:fill="auto"/>
            <w:noWrap/>
            <w:vAlign w:val="center"/>
            <w:hideMark/>
          </w:tcPr>
          <w:p w14:paraId="25E7960E" w14:textId="77777777" w:rsidR="003A0D77" w:rsidRPr="003A0D77" w:rsidRDefault="003A0D77" w:rsidP="003A0D77">
            <w:pPr>
              <w:spacing w:after="0"/>
              <w:rPr>
                <w:rFonts w:ascii="Calibri" w:hAnsi="Calibri"/>
                <w:color w:val="000000"/>
                <w:sz w:val="20"/>
                <w:szCs w:val="22"/>
                <w:lang w:eastAsia="en-GB"/>
              </w:rPr>
            </w:pPr>
            <w:r w:rsidRPr="003A0D77">
              <w:rPr>
                <w:rFonts w:ascii="Calibri" w:hAnsi="Calibri"/>
                <w:color w:val="000000"/>
                <w:sz w:val="20"/>
                <w:szCs w:val="22"/>
                <w:lang w:eastAsia="en-GB"/>
              </w:rPr>
              <w:t>Uncommitted Growth</w:t>
            </w:r>
          </w:p>
        </w:tc>
        <w:tc>
          <w:tcPr>
            <w:tcW w:w="222" w:type="dxa"/>
            <w:tcBorders>
              <w:top w:val="nil"/>
              <w:left w:val="nil"/>
              <w:bottom w:val="nil"/>
              <w:right w:val="nil"/>
            </w:tcBorders>
            <w:shd w:val="clear" w:color="auto" w:fill="auto"/>
            <w:noWrap/>
            <w:vAlign w:val="center"/>
            <w:hideMark/>
          </w:tcPr>
          <w:p w14:paraId="40746430" w14:textId="77777777" w:rsidR="003A0D77" w:rsidRPr="003A0D77" w:rsidRDefault="003A0D77" w:rsidP="003A0D77">
            <w:pPr>
              <w:spacing w:after="0"/>
              <w:rPr>
                <w:rFonts w:ascii="Calibri" w:hAnsi="Calibri"/>
                <w:color w:val="000000"/>
                <w:sz w:val="20"/>
                <w:szCs w:val="22"/>
                <w:lang w:eastAsia="en-GB"/>
              </w:rPr>
            </w:pPr>
          </w:p>
        </w:tc>
        <w:tc>
          <w:tcPr>
            <w:tcW w:w="1120" w:type="dxa"/>
            <w:tcBorders>
              <w:top w:val="nil"/>
              <w:left w:val="nil"/>
              <w:bottom w:val="nil"/>
              <w:right w:val="nil"/>
            </w:tcBorders>
            <w:shd w:val="clear" w:color="auto" w:fill="auto"/>
            <w:noWrap/>
            <w:vAlign w:val="center"/>
            <w:hideMark/>
          </w:tcPr>
          <w:p w14:paraId="4C345BC1" w14:textId="77777777" w:rsidR="003A0D77" w:rsidRPr="003A0D77" w:rsidRDefault="003A0D77" w:rsidP="003A0D77">
            <w:pPr>
              <w:spacing w:after="0"/>
              <w:jc w:val="right"/>
              <w:rPr>
                <w:rFonts w:ascii="Calibri" w:hAnsi="Calibri"/>
                <w:color w:val="000000"/>
                <w:sz w:val="20"/>
                <w:szCs w:val="22"/>
                <w:lang w:eastAsia="en-GB"/>
              </w:rPr>
            </w:pPr>
            <w:r w:rsidRPr="003A0D77">
              <w:rPr>
                <w:rFonts w:ascii="Calibri" w:hAnsi="Calibri"/>
                <w:color w:val="000000"/>
                <w:sz w:val="20"/>
                <w:szCs w:val="22"/>
                <w:lang w:eastAsia="en-GB"/>
              </w:rPr>
              <w:t>0.0</w:t>
            </w:r>
          </w:p>
        </w:tc>
        <w:tc>
          <w:tcPr>
            <w:tcW w:w="1120" w:type="dxa"/>
            <w:tcBorders>
              <w:top w:val="nil"/>
              <w:left w:val="nil"/>
              <w:bottom w:val="nil"/>
              <w:right w:val="nil"/>
            </w:tcBorders>
            <w:shd w:val="clear" w:color="auto" w:fill="auto"/>
            <w:noWrap/>
            <w:vAlign w:val="center"/>
            <w:hideMark/>
          </w:tcPr>
          <w:p w14:paraId="0FB0DE8C" w14:textId="77777777" w:rsidR="003A0D77" w:rsidRPr="003A0D77" w:rsidRDefault="003A0D77" w:rsidP="003A0D77">
            <w:pPr>
              <w:spacing w:after="0"/>
              <w:jc w:val="right"/>
              <w:rPr>
                <w:rFonts w:ascii="Calibri" w:hAnsi="Calibri"/>
                <w:color w:val="000000"/>
                <w:sz w:val="20"/>
                <w:szCs w:val="22"/>
                <w:lang w:eastAsia="en-GB"/>
              </w:rPr>
            </w:pPr>
            <w:r w:rsidRPr="003A0D77">
              <w:rPr>
                <w:rFonts w:ascii="Calibri" w:hAnsi="Calibri"/>
                <w:color w:val="000000"/>
                <w:sz w:val="20"/>
                <w:szCs w:val="22"/>
                <w:lang w:eastAsia="en-GB"/>
              </w:rPr>
              <w:t>500.0</w:t>
            </w:r>
          </w:p>
        </w:tc>
        <w:tc>
          <w:tcPr>
            <w:tcW w:w="1120" w:type="dxa"/>
            <w:tcBorders>
              <w:top w:val="nil"/>
              <w:left w:val="nil"/>
              <w:bottom w:val="nil"/>
              <w:right w:val="nil"/>
            </w:tcBorders>
            <w:shd w:val="clear" w:color="auto" w:fill="auto"/>
            <w:noWrap/>
            <w:vAlign w:val="center"/>
            <w:hideMark/>
          </w:tcPr>
          <w:p w14:paraId="0F5655C3" w14:textId="77777777" w:rsidR="003A0D77" w:rsidRPr="003A0D77" w:rsidRDefault="003A0D77" w:rsidP="003A0D77">
            <w:pPr>
              <w:spacing w:after="0"/>
              <w:jc w:val="right"/>
              <w:rPr>
                <w:rFonts w:ascii="Calibri" w:hAnsi="Calibri"/>
                <w:color w:val="000000"/>
                <w:sz w:val="20"/>
                <w:szCs w:val="22"/>
                <w:lang w:eastAsia="en-GB"/>
              </w:rPr>
            </w:pPr>
            <w:r w:rsidRPr="003A0D77">
              <w:rPr>
                <w:rFonts w:ascii="Calibri" w:hAnsi="Calibri"/>
                <w:color w:val="000000"/>
                <w:sz w:val="20"/>
                <w:szCs w:val="22"/>
                <w:lang w:eastAsia="en-GB"/>
              </w:rPr>
              <w:t>500.0</w:t>
            </w:r>
          </w:p>
        </w:tc>
        <w:tc>
          <w:tcPr>
            <w:tcW w:w="1120" w:type="dxa"/>
            <w:tcBorders>
              <w:top w:val="nil"/>
              <w:left w:val="nil"/>
              <w:bottom w:val="nil"/>
              <w:right w:val="nil"/>
            </w:tcBorders>
            <w:shd w:val="clear" w:color="auto" w:fill="auto"/>
            <w:noWrap/>
            <w:vAlign w:val="center"/>
            <w:hideMark/>
          </w:tcPr>
          <w:p w14:paraId="7E24D674" w14:textId="77777777" w:rsidR="003A0D77" w:rsidRPr="003A0D77" w:rsidRDefault="003A0D77" w:rsidP="003A0D77">
            <w:pPr>
              <w:spacing w:after="0"/>
              <w:jc w:val="right"/>
              <w:rPr>
                <w:rFonts w:ascii="Calibri" w:hAnsi="Calibri"/>
                <w:color w:val="000000"/>
                <w:sz w:val="20"/>
                <w:szCs w:val="22"/>
                <w:lang w:eastAsia="en-GB"/>
              </w:rPr>
            </w:pPr>
            <w:r w:rsidRPr="003A0D77">
              <w:rPr>
                <w:rFonts w:ascii="Calibri" w:hAnsi="Calibri"/>
                <w:color w:val="000000"/>
                <w:sz w:val="20"/>
                <w:szCs w:val="22"/>
                <w:lang w:eastAsia="en-GB"/>
              </w:rPr>
              <w:t>500.0</w:t>
            </w:r>
          </w:p>
        </w:tc>
      </w:tr>
      <w:tr w:rsidR="003A0D77" w:rsidRPr="003A0D77" w14:paraId="1CDABFB4" w14:textId="77777777" w:rsidTr="003A0D77">
        <w:trPr>
          <w:trHeight w:val="300"/>
        </w:trPr>
        <w:tc>
          <w:tcPr>
            <w:tcW w:w="4820" w:type="dxa"/>
            <w:tcBorders>
              <w:top w:val="nil"/>
              <w:left w:val="nil"/>
              <w:bottom w:val="nil"/>
              <w:right w:val="nil"/>
            </w:tcBorders>
            <w:shd w:val="clear" w:color="auto" w:fill="auto"/>
            <w:noWrap/>
            <w:vAlign w:val="center"/>
            <w:hideMark/>
          </w:tcPr>
          <w:p w14:paraId="5E4C0522" w14:textId="77777777" w:rsidR="003A0D77" w:rsidRPr="003A0D77" w:rsidRDefault="003A0D77" w:rsidP="003A0D77">
            <w:pPr>
              <w:spacing w:after="0"/>
              <w:rPr>
                <w:rFonts w:ascii="Calibri" w:hAnsi="Calibri"/>
                <w:color w:val="000000"/>
                <w:sz w:val="20"/>
                <w:szCs w:val="22"/>
                <w:lang w:eastAsia="en-GB"/>
              </w:rPr>
            </w:pPr>
            <w:r w:rsidRPr="003A0D77">
              <w:rPr>
                <w:rFonts w:ascii="Calibri" w:hAnsi="Calibri"/>
                <w:color w:val="000000"/>
                <w:sz w:val="20"/>
                <w:szCs w:val="22"/>
                <w:lang w:eastAsia="en-GB"/>
              </w:rPr>
              <w:t>Service Income</w:t>
            </w:r>
          </w:p>
        </w:tc>
        <w:tc>
          <w:tcPr>
            <w:tcW w:w="222" w:type="dxa"/>
            <w:tcBorders>
              <w:top w:val="nil"/>
              <w:left w:val="nil"/>
              <w:bottom w:val="nil"/>
              <w:right w:val="nil"/>
            </w:tcBorders>
            <w:shd w:val="clear" w:color="auto" w:fill="auto"/>
            <w:noWrap/>
            <w:vAlign w:val="center"/>
            <w:hideMark/>
          </w:tcPr>
          <w:p w14:paraId="256DBEEC" w14:textId="77777777" w:rsidR="003A0D77" w:rsidRPr="003A0D77" w:rsidRDefault="003A0D77" w:rsidP="003A0D77">
            <w:pPr>
              <w:spacing w:after="0"/>
              <w:rPr>
                <w:rFonts w:ascii="Calibri" w:hAnsi="Calibri"/>
                <w:color w:val="000000"/>
                <w:sz w:val="20"/>
                <w:szCs w:val="22"/>
                <w:lang w:eastAsia="en-GB"/>
              </w:rPr>
            </w:pPr>
          </w:p>
        </w:tc>
        <w:tc>
          <w:tcPr>
            <w:tcW w:w="1120" w:type="dxa"/>
            <w:tcBorders>
              <w:top w:val="nil"/>
              <w:left w:val="nil"/>
              <w:bottom w:val="nil"/>
              <w:right w:val="nil"/>
            </w:tcBorders>
            <w:shd w:val="clear" w:color="auto" w:fill="auto"/>
            <w:noWrap/>
            <w:vAlign w:val="center"/>
            <w:hideMark/>
          </w:tcPr>
          <w:p w14:paraId="7E4227D7" w14:textId="77777777" w:rsidR="003A0D77" w:rsidRPr="003A0D77" w:rsidRDefault="003A0D77" w:rsidP="003A0D77">
            <w:pPr>
              <w:spacing w:after="0"/>
              <w:jc w:val="right"/>
              <w:rPr>
                <w:rFonts w:ascii="Calibri" w:hAnsi="Calibri"/>
                <w:color w:val="000000"/>
                <w:sz w:val="20"/>
                <w:szCs w:val="22"/>
                <w:lang w:eastAsia="en-GB"/>
              </w:rPr>
            </w:pPr>
            <w:r w:rsidRPr="003A0D77">
              <w:rPr>
                <w:rFonts w:ascii="Calibri" w:hAnsi="Calibri"/>
                <w:color w:val="000000"/>
                <w:sz w:val="20"/>
                <w:szCs w:val="22"/>
                <w:lang w:eastAsia="en-GB"/>
              </w:rPr>
              <w:t>-13,841.5</w:t>
            </w:r>
          </w:p>
        </w:tc>
        <w:tc>
          <w:tcPr>
            <w:tcW w:w="1120" w:type="dxa"/>
            <w:tcBorders>
              <w:top w:val="nil"/>
              <w:left w:val="nil"/>
              <w:bottom w:val="nil"/>
              <w:right w:val="nil"/>
            </w:tcBorders>
            <w:shd w:val="clear" w:color="auto" w:fill="auto"/>
            <w:noWrap/>
            <w:vAlign w:val="center"/>
            <w:hideMark/>
          </w:tcPr>
          <w:p w14:paraId="4AFF6794" w14:textId="77777777" w:rsidR="003A0D77" w:rsidRPr="003A0D77" w:rsidRDefault="003A0D77" w:rsidP="003A0D77">
            <w:pPr>
              <w:spacing w:after="0"/>
              <w:jc w:val="right"/>
              <w:rPr>
                <w:rFonts w:ascii="Calibri" w:hAnsi="Calibri"/>
                <w:color w:val="000000"/>
                <w:sz w:val="20"/>
                <w:szCs w:val="22"/>
                <w:lang w:eastAsia="en-GB"/>
              </w:rPr>
            </w:pPr>
            <w:r w:rsidRPr="003A0D77">
              <w:rPr>
                <w:rFonts w:ascii="Calibri" w:hAnsi="Calibri"/>
                <w:color w:val="000000"/>
                <w:sz w:val="20"/>
                <w:szCs w:val="22"/>
                <w:lang w:eastAsia="en-GB"/>
              </w:rPr>
              <w:t>-13,812.8</w:t>
            </w:r>
          </w:p>
        </w:tc>
        <w:tc>
          <w:tcPr>
            <w:tcW w:w="1120" w:type="dxa"/>
            <w:tcBorders>
              <w:top w:val="nil"/>
              <w:left w:val="nil"/>
              <w:bottom w:val="nil"/>
              <w:right w:val="nil"/>
            </w:tcBorders>
            <w:shd w:val="clear" w:color="auto" w:fill="auto"/>
            <w:noWrap/>
            <w:vAlign w:val="center"/>
            <w:hideMark/>
          </w:tcPr>
          <w:p w14:paraId="43357800" w14:textId="77777777" w:rsidR="003A0D77" w:rsidRPr="003A0D77" w:rsidRDefault="003A0D77" w:rsidP="003A0D77">
            <w:pPr>
              <w:spacing w:after="0"/>
              <w:jc w:val="right"/>
              <w:rPr>
                <w:rFonts w:ascii="Calibri" w:hAnsi="Calibri"/>
                <w:color w:val="000000"/>
                <w:sz w:val="20"/>
                <w:szCs w:val="22"/>
                <w:lang w:eastAsia="en-GB"/>
              </w:rPr>
            </w:pPr>
            <w:r w:rsidRPr="003A0D77">
              <w:rPr>
                <w:rFonts w:ascii="Calibri" w:hAnsi="Calibri"/>
                <w:color w:val="000000"/>
                <w:sz w:val="20"/>
                <w:szCs w:val="22"/>
                <w:lang w:eastAsia="en-GB"/>
              </w:rPr>
              <w:t>-13,420.0</w:t>
            </w:r>
          </w:p>
        </w:tc>
        <w:tc>
          <w:tcPr>
            <w:tcW w:w="1120" w:type="dxa"/>
            <w:tcBorders>
              <w:top w:val="nil"/>
              <w:left w:val="nil"/>
              <w:bottom w:val="nil"/>
              <w:right w:val="nil"/>
            </w:tcBorders>
            <w:shd w:val="clear" w:color="auto" w:fill="auto"/>
            <w:noWrap/>
            <w:vAlign w:val="center"/>
            <w:hideMark/>
          </w:tcPr>
          <w:p w14:paraId="75496CAB" w14:textId="77777777" w:rsidR="003A0D77" w:rsidRPr="003A0D77" w:rsidRDefault="003A0D77" w:rsidP="003A0D77">
            <w:pPr>
              <w:spacing w:after="0"/>
              <w:jc w:val="right"/>
              <w:rPr>
                <w:rFonts w:ascii="Calibri" w:hAnsi="Calibri"/>
                <w:color w:val="000000"/>
                <w:sz w:val="20"/>
                <w:szCs w:val="22"/>
                <w:lang w:eastAsia="en-GB"/>
              </w:rPr>
            </w:pPr>
            <w:r w:rsidRPr="003A0D77">
              <w:rPr>
                <w:rFonts w:ascii="Calibri" w:hAnsi="Calibri"/>
                <w:color w:val="000000"/>
                <w:sz w:val="20"/>
                <w:szCs w:val="22"/>
                <w:lang w:eastAsia="en-GB"/>
              </w:rPr>
              <w:t>-13,600.2</w:t>
            </w:r>
          </w:p>
        </w:tc>
      </w:tr>
      <w:tr w:rsidR="003A0D77" w:rsidRPr="003A0D77" w14:paraId="301294BF" w14:textId="77777777" w:rsidTr="003A0D77">
        <w:trPr>
          <w:trHeight w:val="300"/>
        </w:trPr>
        <w:tc>
          <w:tcPr>
            <w:tcW w:w="4820" w:type="dxa"/>
            <w:tcBorders>
              <w:top w:val="nil"/>
              <w:left w:val="nil"/>
              <w:bottom w:val="nil"/>
              <w:right w:val="nil"/>
            </w:tcBorders>
            <w:shd w:val="clear" w:color="auto" w:fill="auto"/>
            <w:noWrap/>
            <w:vAlign w:val="center"/>
            <w:hideMark/>
          </w:tcPr>
          <w:p w14:paraId="0EF91F4E" w14:textId="77777777" w:rsidR="003A0D77" w:rsidRPr="003A0D77" w:rsidRDefault="003A0D77" w:rsidP="003A0D77">
            <w:pPr>
              <w:spacing w:after="0"/>
              <w:rPr>
                <w:rFonts w:ascii="Calibri" w:hAnsi="Calibri"/>
                <w:color w:val="000000"/>
                <w:sz w:val="20"/>
                <w:szCs w:val="22"/>
                <w:lang w:eastAsia="en-GB"/>
              </w:rPr>
            </w:pPr>
            <w:r w:rsidRPr="003A0D77">
              <w:rPr>
                <w:rFonts w:ascii="Calibri" w:hAnsi="Calibri"/>
                <w:color w:val="000000"/>
                <w:sz w:val="20"/>
                <w:szCs w:val="22"/>
                <w:lang w:eastAsia="en-GB"/>
              </w:rPr>
              <w:t>Non-Service Income and Expenditure</w:t>
            </w:r>
          </w:p>
        </w:tc>
        <w:tc>
          <w:tcPr>
            <w:tcW w:w="222" w:type="dxa"/>
            <w:tcBorders>
              <w:top w:val="nil"/>
              <w:left w:val="nil"/>
              <w:bottom w:val="nil"/>
              <w:right w:val="nil"/>
            </w:tcBorders>
            <w:shd w:val="clear" w:color="auto" w:fill="auto"/>
            <w:noWrap/>
            <w:vAlign w:val="center"/>
            <w:hideMark/>
          </w:tcPr>
          <w:p w14:paraId="0632AEAF" w14:textId="77777777" w:rsidR="003A0D77" w:rsidRPr="003A0D77" w:rsidRDefault="003A0D77" w:rsidP="003A0D77">
            <w:pPr>
              <w:spacing w:after="0"/>
              <w:rPr>
                <w:rFonts w:ascii="Calibri" w:hAnsi="Calibri"/>
                <w:color w:val="000000"/>
                <w:sz w:val="20"/>
                <w:szCs w:val="22"/>
                <w:lang w:eastAsia="en-GB"/>
              </w:rPr>
            </w:pPr>
          </w:p>
        </w:tc>
        <w:tc>
          <w:tcPr>
            <w:tcW w:w="1120" w:type="dxa"/>
            <w:tcBorders>
              <w:top w:val="nil"/>
              <w:left w:val="nil"/>
              <w:bottom w:val="nil"/>
              <w:right w:val="nil"/>
            </w:tcBorders>
            <w:shd w:val="clear" w:color="auto" w:fill="auto"/>
            <w:noWrap/>
            <w:vAlign w:val="center"/>
            <w:hideMark/>
          </w:tcPr>
          <w:p w14:paraId="61641DA7" w14:textId="77777777" w:rsidR="003A0D77" w:rsidRPr="003A0D77" w:rsidRDefault="003A0D77" w:rsidP="003A0D77">
            <w:pPr>
              <w:spacing w:after="0"/>
              <w:jc w:val="right"/>
              <w:rPr>
                <w:rFonts w:ascii="Calibri" w:hAnsi="Calibri"/>
                <w:color w:val="000000"/>
                <w:sz w:val="20"/>
                <w:szCs w:val="22"/>
                <w:lang w:eastAsia="en-GB"/>
              </w:rPr>
            </w:pPr>
            <w:r w:rsidRPr="003A0D77">
              <w:rPr>
                <w:rFonts w:ascii="Calibri" w:hAnsi="Calibri"/>
                <w:color w:val="000000"/>
                <w:sz w:val="20"/>
                <w:szCs w:val="22"/>
                <w:lang w:eastAsia="en-GB"/>
              </w:rPr>
              <w:t>-16,243.7</w:t>
            </w:r>
          </w:p>
        </w:tc>
        <w:tc>
          <w:tcPr>
            <w:tcW w:w="1120" w:type="dxa"/>
            <w:tcBorders>
              <w:top w:val="nil"/>
              <w:left w:val="nil"/>
              <w:bottom w:val="nil"/>
              <w:right w:val="nil"/>
            </w:tcBorders>
            <w:shd w:val="clear" w:color="auto" w:fill="auto"/>
            <w:noWrap/>
            <w:vAlign w:val="center"/>
            <w:hideMark/>
          </w:tcPr>
          <w:p w14:paraId="58D284B4" w14:textId="77777777" w:rsidR="003A0D77" w:rsidRPr="003A0D77" w:rsidRDefault="003A0D77" w:rsidP="003A0D77">
            <w:pPr>
              <w:spacing w:after="0"/>
              <w:jc w:val="right"/>
              <w:rPr>
                <w:rFonts w:ascii="Calibri" w:hAnsi="Calibri"/>
                <w:color w:val="000000"/>
                <w:sz w:val="20"/>
                <w:szCs w:val="22"/>
                <w:lang w:eastAsia="en-GB"/>
              </w:rPr>
            </w:pPr>
            <w:r w:rsidRPr="003A0D77">
              <w:rPr>
                <w:rFonts w:ascii="Calibri" w:hAnsi="Calibri"/>
                <w:color w:val="000000"/>
                <w:sz w:val="20"/>
                <w:szCs w:val="22"/>
                <w:lang w:eastAsia="en-GB"/>
              </w:rPr>
              <w:t>-14,738.4</w:t>
            </w:r>
          </w:p>
        </w:tc>
        <w:tc>
          <w:tcPr>
            <w:tcW w:w="1120" w:type="dxa"/>
            <w:tcBorders>
              <w:top w:val="nil"/>
              <w:left w:val="nil"/>
              <w:bottom w:val="nil"/>
              <w:right w:val="nil"/>
            </w:tcBorders>
            <w:shd w:val="clear" w:color="auto" w:fill="auto"/>
            <w:noWrap/>
            <w:vAlign w:val="center"/>
            <w:hideMark/>
          </w:tcPr>
          <w:p w14:paraId="1F39E2F5" w14:textId="77777777" w:rsidR="003A0D77" w:rsidRPr="003A0D77" w:rsidRDefault="003A0D77" w:rsidP="003A0D77">
            <w:pPr>
              <w:spacing w:after="0"/>
              <w:jc w:val="right"/>
              <w:rPr>
                <w:rFonts w:ascii="Calibri" w:hAnsi="Calibri"/>
                <w:color w:val="000000"/>
                <w:sz w:val="20"/>
                <w:szCs w:val="22"/>
                <w:lang w:eastAsia="en-GB"/>
              </w:rPr>
            </w:pPr>
            <w:r w:rsidRPr="003A0D77">
              <w:rPr>
                <w:rFonts w:ascii="Calibri" w:hAnsi="Calibri"/>
                <w:color w:val="000000"/>
                <w:sz w:val="20"/>
                <w:szCs w:val="22"/>
                <w:lang w:eastAsia="en-GB"/>
              </w:rPr>
              <w:t>-13,848.0</w:t>
            </w:r>
          </w:p>
        </w:tc>
        <w:tc>
          <w:tcPr>
            <w:tcW w:w="1120" w:type="dxa"/>
            <w:tcBorders>
              <w:top w:val="nil"/>
              <w:left w:val="nil"/>
              <w:bottom w:val="nil"/>
              <w:right w:val="nil"/>
            </w:tcBorders>
            <w:shd w:val="clear" w:color="auto" w:fill="auto"/>
            <w:noWrap/>
            <w:vAlign w:val="center"/>
            <w:hideMark/>
          </w:tcPr>
          <w:p w14:paraId="0AC48442" w14:textId="77777777" w:rsidR="003A0D77" w:rsidRPr="003A0D77" w:rsidRDefault="003A0D77" w:rsidP="003A0D77">
            <w:pPr>
              <w:spacing w:after="0"/>
              <w:jc w:val="right"/>
              <w:rPr>
                <w:rFonts w:ascii="Calibri" w:hAnsi="Calibri"/>
                <w:color w:val="000000"/>
                <w:sz w:val="20"/>
                <w:szCs w:val="22"/>
                <w:lang w:eastAsia="en-GB"/>
              </w:rPr>
            </w:pPr>
            <w:r w:rsidRPr="003A0D77">
              <w:rPr>
                <w:rFonts w:ascii="Calibri" w:hAnsi="Calibri"/>
                <w:color w:val="000000"/>
                <w:sz w:val="20"/>
                <w:szCs w:val="22"/>
                <w:lang w:eastAsia="en-GB"/>
              </w:rPr>
              <w:t>-13,529.8</w:t>
            </w:r>
          </w:p>
        </w:tc>
      </w:tr>
      <w:tr w:rsidR="003A0D77" w:rsidRPr="003A0D77" w14:paraId="2E162C63" w14:textId="77777777" w:rsidTr="003A0D77">
        <w:trPr>
          <w:trHeight w:val="300"/>
        </w:trPr>
        <w:tc>
          <w:tcPr>
            <w:tcW w:w="4820" w:type="dxa"/>
            <w:tcBorders>
              <w:top w:val="nil"/>
              <w:left w:val="nil"/>
              <w:bottom w:val="nil"/>
              <w:right w:val="nil"/>
            </w:tcBorders>
            <w:shd w:val="clear" w:color="auto" w:fill="auto"/>
            <w:noWrap/>
            <w:vAlign w:val="center"/>
            <w:hideMark/>
          </w:tcPr>
          <w:p w14:paraId="53E122C6" w14:textId="77777777" w:rsidR="003A0D77" w:rsidRPr="003A0D77" w:rsidRDefault="003A0D77" w:rsidP="003A0D77">
            <w:pPr>
              <w:spacing w:after="0"/>
              <w:rPr>
                <w:rFonts w:ascii="Calibri" w:hAnsi="Calibri"/>
                <w:b/>
                <w:color w:val="000000"/>
                <w:sz w:val="20"/>
                <w:szCs w:val="22"/>
                <w:lang w:eastAsia="en-GB"/>
              </w:rPr>
            </w:pPr>
            <w:r w:rsidRPr="003A0D77">
              <w:rPr>
                <w:rFonts w:ascii="Calibri" w:hAnsi="Calibri"/>
                <w:b/>
                <w:color w:val="000000"/>
                <w:sz w:val="20"/>
                <w:szCs w:val="22"/>
                <w:lang w:eastAsia="en-GB"/>
              </w:rPr>
              <w:lastRenderedPageBreak/>
              <w:t>Net Projected General Fund Budget Deficit (savings to be identified)</w:t>
            </w:r>
          </w:p>
        </w:tc>
        <w:tc>
          <w:tcPr>
            <w:tcW w:w="222" w:type="dxa"/>
            <w:tcBorders>
              <w:top w:val="nil"/>
              <w:left w:val="nil"/>
              <w:bottom w:val="nil"/>
              <w:right w:val="nil"/>
            </w:tcBorders>
            <w:shd w:val="clear" w:color="auto" w:fill="auto"/>
            <w:noWrap/>
            <w:vAlign w:val="center"/>
            <w:hideMark/>
          </w:tcPr>
          <w:p w14:paraId="7EFFF964" w14:textId="77777777" w:rsidR="003A0D77" w:rsidRPr="003A0D77" w:rsidRDefault="003A0D77" w:rsidP="003A0D77">
            <w:pPr>
              <w:spacing w:after="0"/>
              <w:rPr>
                <w:rFonts w:ascii="Calibri" w:hAnsi="Calibri"/>
                <w:b/>
                <w:color w:val="000000"/>
                <w:sz w:val="20"/>
                <w:szCs w:val="22"/>
                <w:lang w:eastAsia="en-GB"/>
              </w:rPr>
            </w:pPr>
          </w:p>
        </w:tc>
        <w:tc>
          <w:tcPr>
            <w:tcW w:w="1120" w:type="dxa"/>
            <w:tcBorders>
              <w:top w:val="single" w:sz="4" w:space="0" w:color="auto"/>
              <w:left w:val="nil"/>
              <w:bottom w:val="nil"/>
              <w:right w:val="nil"/>
            </w:tcBorders>
            <w:shd w:val="clear" w:color="auto" w:fill="auto"/>
            <w:noWrap/>
            <w:vAlign w:val="center"/>
            <w:hideMark/>
          </w:tcPr>
          <w:p w14:paraId="3D0F6E02" w14:textId="77777777" w:rsidR="003A0D77" w:rsidRPr="003A0D77" w:rsidRDefault="003A0D77" w:rsidP="003A0D77">
            <w:pPr>
              <w:spacing w:after="0"/>
              <w:jc w:val="right"/>
              <w:rPr>
                <w:rFonts w:ascii="Calibri" w:hAnsi="Calibri"/>
                <w:b/>
                <w:color w:val="000000"/>
                <w:sz w:val="20"/>
                <w:szCs w:val="22"/>
                <w:lang w:eastAsia="en-GB"/>
              </w:rPr>
            </w:pPr>
            <w:r w:rsidRPr="003A0D77">
              <w:rPr>
                <w:rFonts w:ascii="Calibri" w:hAnsi="Calibri"/>
                <w:b/>
                <w:color w:val="000000"/>
                <w:sz w:val="20"/>
                <w:szCs w:val="22"/>
                <w:lang w:eastAsia="en-GB"/>
              </w:rPr>
              <w:t>0.0</w:t>
            </w:r>
          </w:p>
        </w:tc>
        <w:tc>
          <w:tcPr>
            <w:tcW w:w="1120" w:type="dxa"/>
            <w:tcBorders>
              <w:top w:val="single" w:sz="4" w:space="0" w:color="auto"/>
              <w:left w:val="nil"/>
              <w:bottom w:val="nil"/>
              <w:right w:val="nil"/>
            </w:tcBorders>
            <w:shd w:val="clear" w:color="auto" w:fill="auto"/>
            <w:noWrap/>
            <w:vAlign w:val="center"/>
            <w:hideMark/>
          </w:tcPr>
          <w:p w14:paraId="13FC2629" w14:textId="77777777" w:rsidR="003A0D77" w:rsidRPr="003A0D77" w:rsidRDefault="003A0D77" w:rsidP="003A0D77">
            <w:pPr>
              <w:spacing w:after="0"/>
              <w:jc w:val="right"/>
              <w:rPr>
                <w:rFonts w:ascii="Calibri" w:hAnsi="Calibri"/>
                <w:b/>
                <w:color w:val="000000"/>
                <w:sz w:val="20"/>
                <w:szCs w:val="22"/>
                <w:lang w:eastAsia="en-GB"/>
              </w:rPr>
            </w:pPr>
            <w:r w:rsidRPr="003A0D77">
              <w:rPr>
                <w:rFonts w:ascii="Calibri" w:hAnsi="Calibri"/>
                <w:b/>
                <w:color w:val="000000"/>
                <w:sz w:val="20"/>
                <w:szCs w:val="22"/>
                <w:lang w:eastAsia="en-GB"/>
              </w:rPr>
              <w:t>203.1</w:t>
            </w:r>
          </w:p>
        </w:tc>
        <w:tc>
          <w:tcPr>
            <w:tcW w:w="1120" w:type="dxa"/>
            <w:tcBorders>
              <w:top w:val="single" w:sz="4" w:space="0" w:color="auto"/>
              <w:left w:val="nil"/>
              <w:bottom w:val="nil"/>
              <w:right w:val="nil"/>
            </w:tcBorders>
            <w:shd w:val="clear" w:color="auto" w:fill="auto"/>
            <w:noWrap/>
            <w:vAlign w:val="center"/>
            <w:hideMark/>
          </w:tcPr>
          <w:p w14:paraId="4B50A7CB" w14:textId="77777777" w:rsidR="003A0D77" w:rsidRPr="003A0D77" w:rsidRDefault="003A0D77" w:rsidP="003A0D77">
            <w:pPr>
              <w:spacing w:after="0"/>
              <w:jc w:val="right"/>
              <w:rPr>
                <w:rFonts w:ascii="Calibri" w:hAnsi="Calibri"/>
                <w:b/>
                <w:color w:val="000000"/>
                <w:sz w:val="20"/>
                <w:szCs w:val="22"/>
                <w:lang w:eastAsia="en-GB"/>
              </w:rPr>
            </w:pPr>
            <w:r w:rsidRPr="003A0D77">
              <w:rPr>
                <w:rFonts w:ascii="Calibri" w:hAnsi="Calibri"/>
                <w:b/>
                <w:color w:val="000000"/>
                <w:sz w:val="20"/>
                <w:szCs w:val="22"/>
                <w:lang w:eastAsia="en-GB"/>
              </w:rPr>
              <w:t>738.7</w:t>
            </w:r>
          </w:p>
        </w:tc>
        <w:tc>
          <w:tcPr>
            <w:tcW w:w="1120" w:type="dxa"/>
            <w:tcBorders>
              <w:top w:val="single" w:sz="4" w:space="0" w:color="auto"/>
              <w:left w:val="nil"/>
              <w:bottom w:val="nil"/>
              <w:right w:val="nil"/>
            </w:tcBorders>
            <w:shd w:val="clear" w:color="auto" w:fill="auto"/>
            <w:noWrap/>
            <w:vAlign w:val="center"/>
            <w:hideMark/>
          </w:tcPr>
          <w:p w14:paraId="7041F9B9" w14:textId="77777777" w:rsidR="003A0D77" w:rsidRPr="003A0D77" w:rsidRDefault="003A0D77" w:rsidP="003A0D77">
            <w:pPr>
              <w:spacing w:after="0"/>
              <w:jc w:val="right"/>
              <w:rPr>
                <w:rFonts w:ascii="Calibri" w:hAnsi="Calibri"/>
                <w:b/>
                <w:color w:val="000000"/>
                <w:sz w:val="20"/>
                <w:szCs w:val="22"/>
                <w:lang w:eastAsia="en-GB"/>
              </w:rPr>
            </w:pPr>
            <w:r w:rsidRPr="003A0D77">
              <w:rPr>
                <w:rFonts w:ascii="Calibri" w:hAnsi="Calibri"/>
                <w:b/>
                <w:color w:val="000000"/>
                <w:sz w:val="20"/>
                <w:szCs w:val="22"/>
                <w:lang w:eastAsia="en-GB"/>
              </w:rPr>
              <w:t>897.3</w:t>
            </w:r>
          </w:p>
        </w:tc>
      </w:tr>
    </w:tbl>
    <w:p w14:paraId="23B1A74F" w14:textId="77777777" w:rsidR="003A0D77" w:rsidRDefault="003A0D77" w:rsidP="00CB3002">
      <w:pPr>
        <w:rPr>
          <w:rFonts w:cs="Arial"/>
          <w:color w:val="FF0000"/>
          <w:sz w:val="16"/>
          <w:szCs w:val="22"/>
        </w:rPr>
      </w:pPr>
    </w:p>
    <w:p w14:paraId="716C5744" w14:textId="77777777" w:rsidR="00E413CE" w:rsidRPr="00E413CE" w:rsidRDefault="00E413CE" w:rsidP="00E413CE">
      <w:pPr>
        <w:rPr>
          <w:rFonts w:cs="Arial"/>
          <w:sz w:val="22"/>
          <w:szCs w:val="22"/>
        </w:rPr>
      </w:pPr>
      <w:r w:rsidRPr="00E413CE">
        <w:rPr>
          <w:rFonts w:cs="Arial"/>
          <w:sz w:val="22"/>
          <w:szCs w:val="22"/>
        </w:rPr>
        <w:t>The Council approved its financial strategy in the 2013/14 – 2017/18 Medium Term Financial Plan approved in July 2013.  The following principles were approved:</w:t>
      </w:r>
    </w:p>
    <w:p w14:paraId="645CB62D" w14:textId="77777777" w:rsidR="00E413CE" w:rsidRPr="00E413CE" w:rsidRDefault="00E413CE" w:rsidP="00E413CE">
      <w:pPr>
        <w:numPr>
          <w:ilvl w:val="3"/>
          <w:numId w:val="27"/>
        </w:numPr>
        <w:rPr>
          <w:rFonts w:cs="Arial"/>
          <w:sz w:val="22"/>
          <w:szCs w:val="22"/>
        </w:rPr>
      </w:pPr>
      <w:r w:rsidRPr="00E413CE">
        <w:rPr>
          <w:rFonts w:cs="Arial"/>
          <w:b/>
          <w:sz w:val="22"/>
          <w:szCs w:val="22"/>
        </w:rPr>
        <w:t>Balanced budgets</w:t>
      </w:r>
      <w:r w:rsidRPr="00E413CE">
        <w:rPr>
          <w:rFonts w:cs="Arial"/>
          <w:sz w:val="22"/>
          <w:szCs w:val="22"/>
        </w:rPr>
        <w:t xml:space="preserve">: Maintain a balanced budget position, and to set a medium term financial plan maintaining and strengthening that position </w:t>
      </w:r>
    </w:p>
    <w:p w14:paraId="53C5BA88" w14:textId="77777777" w:rsidR="00E413CE" w:rsidRPr="00E413CE" w:rsidRDefault="00E413CE" w:rsidP="00E413CE">
      <w:pPr>
        <w:numPr>
          <w:ilvl w:val="3"/>
          <w:numId w:val="27"/>
        </w:numPr>
        <w:rPr>
          <w:rFonts w:cs="Arial"/>
          <w:sz w:val="22"/>
          <w:szCs w:val="22"/>
        </w:rPr>
      </w:pPr>
      <w:r w:rsidRPr="00E413CE">
        <w:rPr>
          <w:rFonts w:cs="Arial"/>
          <w:b/>
          <w:sz w:val="22"/>
          <w:szCs w:val="22"/>
        </w:rPr>
        <w:t>Five year budgets</w:t>
      </w:r>
      <w:r w:rsidRPr="00E413CE">
        <w:rPr>
          <w:rFonts w:cs="Arial"/>
          <w:sz w:val="22"/>
          <w:szCs w:val="22"/>
        </w:rPr>
        <w:t xml:space="preserve">: the Council sets budgets for a five year period. </w:t>
      </w:r>
    </w:p>
    <w:p w14:paraId="6391D99B" w14:textId="77777777" w:rsidR="00E413CE" w:rsidRPr="00E413CE" w:rsidRDefault="00E413CE" w:rsidP="00E413CE">
      <w:pPr>
        <w:numPr>
          <w:ilvl w:val="3"/>
          <w:numId w:val="27"/>
        </w:numPr>
        <w:rPr>
          <w:rFonts w:cs="Arial"/>
          <w:sz w:val="22"/>
          <w:szCs w:val="22"/>
        </w:rPr>
      </w:pPr>
      <w:r w:rsidRPr="00E413CE">
        <w:rPr>
          <w:rFonts w:cs="Arial"/>
          <w:b/>
          <w:sz w:val="22"/>
          <w:szCs w:val="22"/>
        </w:rPr>
        <w:t xml:space="preserve">Strong financial management: </w:t>
      </w:r>
      <w:r w:rsidRPr="00E413CE">
        <w:rPr>
          <w:rFonts w:cs="Arial"/>
          <w:sz w:val="22"/>
          <w:szCs w:val="22"/>
        </w:rPr>
        <w:t>The Council controls and monitors the actual position of the authority on a regular basis setting out actions to correct any emerging issues;</w:t>
      </w:r>
    </w:p>
    <w:p w14:paraId="6D560638" w14:textId="77777777" w:rsidR="00E413CE" w:rsidRPr="00E413CE" w:rsidRDefault="00E413CE" w:rsidP="00E413CE">
      <w:pPr>
        <w:numPr>
          <w:ilvl w:val="3"/>
          <w:numId w:val="27"/>
        </w:numPr>
        <w:rPr>
          <w:rFonts w:cs="Arial"/>
          <w:sz w:val="22"/>
          <w:szCs w:val="22"/>
        </w:rPr>
      </w:pPr>
      <w:r w:rsidRPr="00E413CE">
        <w:rPr>
          <w:rFonts w:cs="Arial"/>
          <w:b/>
          <w:sz w:val="22"/>
          <w:szCs w:val="22"/>
        </w:rPr>
        <w:t>Understanding of key cost-drivers:</w:t>
      </w:r>
      <w:r w:rsidRPr="00E413CE">
        <w:rPr>
          <w:rFonts w:cs="Arial"/>
          <w:sz w:val="22"/>
          <w:szCs w:val="22"/>
        </w:rPr>
        <w:t xml:space="preserve"> The Council analyses and reviews the key elements of the service areas including the use of benchmarking;</w:t>
      </w:r>
    </w:p>
    <w:p w14:paraId="1839764D" w14:textId="77777777" w:rsidR="00E413CE" w:rsidRPr="00E413CE" w:rsidRDefault="00E413CE" w:rsidP="00E413CE">
      <w:pPr>
        <w:numPr>
          <w:ilvl w:val="3"/>
          <w:numId w:val="27"/>
        </w:numPr>
        <w:rPr>
          <w:rFonts w:cs="Arial"/>
          <w:sz w:val="22"/>
          <w:szCs w:val="22"/>
        </w:rPr>
      </w:pPr>
      <w:r w:rsidRPr="00E413CE">
        <w:rPr>
          <w:rFonts w:cs="Arial"/>
          <w:b/>
          <w:sz w:val="22"/>
          <w:szCs w:val="22"/>
        </w:rPr>
        <w:t>Asset maintenance</w:t>
      </w:r>
      <w:r w:rsidRPr="00E413CE">
        <w:rPr>
          <w:rFonts w:cs="Arial"/>
          <w:sz w:val="22"/>
          <w:szCs w:val="22"/>
        </w:rPr>
        <w:t xml:space="preserve">: the Capital Programme should ensure adequate programmes of maintenance to sustain values of key assets, especially income-generating assets. </w:t>
      </w:r>
    </w:p>
    <w:p w14:paraId="6F7C276F" w14:textId="77777777" w:rsidR="00E413CE" w:rsidRPr="00E413CE" w:rsidRDefault="00E413CE" w:rsidP="00E413CE">
      <w:pPr>
        <w:numPr>
          <w:ilvl w:val="3"/>
          <w:numId w:val="27"/>
        </w:numPr>
        <w:rPr>
          <w:rFonts w:cs="Arial"/>
          <w:sz w:val="22"/>
          <w:szCs w:val="22"/>
        </w:rPr>
      </w:pPr>
      <w:r w:rsidRPr="00E413CE">
        <w:rPr>
          <w:rFonts w:cs="Arial"/>
          <w:b/>
          <w:sz w:val="22"/>
          <w:szCs w:val="22"/>
        </w:rPr>
        <w:t>Legal transactions</w:t>
      </w:r>
      <w:r w:rsidRPr="00E413CE">
        <w:rPr>
          <w:rFonts w:cs="Arial"/>
          <w:sz w:val="22"/>
          <w:szCs w:val="22"/>
        </w:rPr>
        <w:t xml:space="preserve">: the approval and adoption of the Council’s Constitution, particularly the Financial Procedure Framework and the Contract Procedure Rules set </w:t>
      </w:r>
      <w:r w:rsidRPr="00E413CE">
        <w:rPr>
          <w:rFonts w:cs="Arial"/>
          <w:sz w:val="22"/>
          <w:szCs w:val="22"/>
        </w:rPr>
        <w:lastRenderedPageBreak/>
        <w:t>foundations for ensuring legal transactions alongside the whole system of internal control reviewed annually in the Annual Governance Statement.</w:t>
      </w:r>
    </w:p>
    <w:p w14:paraId="0901C7C3" w14:textId="77777777" w:rsidR="00E413CE" w:rsidRPr="00E413CE" w:rsidRDefault="00E413CE" w:rsidP="00E413CE">
      <w:pPr>
        <w:numPr>
          <w:ilvl w:val="3"/>
          <w:numId w:val="27"/>
        </w:numPr>
        <w:rPr>
          <w:rFonts w:cs="Arial"/>
          <w:sz w:val="22"/>
          <w:szCs w:val="22"/>
        </w:rPr>
      </w:pPr>
      <w:r w:rsidRPr="00E413CE">
        <w:rPr>
          <w:rFonts w:cs="Arial"/>
          <w:b/>
          <w:sz w:val="22"/>
          <w:szCs w:val="22"/>
        </w:rPr>
        <w:t>Affordable investment</w:t>
      </w:r>
      <w:r w:rsidRPr="00E413CE">
        <w:rPr>
          <w:rFonts w:cs="Arial"/>
          <w:sz w:val="22"/>
          <w:szCs w:val="22"/>
        </w:rPr>
        <w:t>; to undertake a prudent level of capital investment to meet the Council’s strategic priorities and remain within prudential borrowing limits</w:t>
      </w:r>
    </w:p>
    <w:p w14:paraId="24592FD3" w14:textId="77777777" w:rsidR="00E413CE" w:rsidRPr="00E413CE" w:rsidRDefault="00E413CE" w:rsidP="00E413CE">
      <w:pPr>
        <w:numPr>
          <w:ilvl w:val="3"/>
          <w:numId w:val="27"/>
        </w:numPr>
        <w:rPr>
          <w:rFonts w:cs="Arial"/>
          <w:b/>
          <w:sz w:val="22"/>
          <w:szCs w:val="22"/>
        </w:rPr>
      </w:pPr>
      <w:r w:rsidRPr="00E413CE">
        <w:rPr>
          <w:rFonts w:cs="Arial"/>
          <w:b/>
          <w:sz w:val="22"/>
          <w:szCs w:val="22"/>
        </w:rPr>
        <w:t xml:space="preserve">Maximise resource base; </w:t>
      </w:r>
      <w:r w:rsidRPr="00E413CE">
        <w:rPr>
          <w:rFonts w:cs="Arial"/>
          <w:sz w:val="22"/>
          <w:szCs w:val="22"/>
        </w:rPr>
        <w:t>the Council will ensure the best use of physical and other assets including staff time;</w:t>
      </w:r>
      <w:r w:rsidRPr="00E413CE">
        <w:rPr>
          <w:rFonts w:cs="Arial"/>
          <w:b/>
          <w:sz w:val="22"/>
          <w:szCs w:val="22"/>
        </w:rPr>
        <w:t xml:space="preserve"> </w:t>
      </w:r>
    </w:p>
    <w:p w14:paraId="0C8C7D09" w14:textId="77777777" w:rsidR="00E413CE" w:rsidRPr="00E413CE" w:rsidRDefault="00E413CE" w:rsidP="00E413CE">
      <w:pPr>
        <w:numPr>
          <w:ilvl w:val="3"/>
          <w:numId w:val="27"/>
        </w:numPr>
        <w:rPr>
          <w:rFonts w:cs="Arial"/>
          <w:sz w:val="22"/>
          <w:szCs w:val="22"/>
        </w:rPr>
      </w:pPr>
      <w:r w:rsidRPr="00E413CE">
        <w:rPr>
          <w:rFonts w:cs="Arial"/>
          <w:b/>
          <w:sz w:val="22"/>
          <w:szCs w:val="22"/>
        </w:rPr>
        <w:t>Value for money</w:t>
      </w:r>
      <w:r w:rsidRPr="00E413CE">
        <w:rPr>
          <w:rFonts w:cs="Arial"/>
          <w:sz w:val="22"/>
          <w:szCs w:val="22"/>
        </w:rPr>
        <w:t>; Continuous review of budgets to ensure resources are targeted on key objectives and deliver value for money to local taxpayers.</w:t>
      </w:r>
    </w:p>
    <w:p w14:paraId="04A56B69" w14:textId="77777777" w:rsidR="00E413CE" w:rsidRPr="00E413CE" w:rsidRDefault="00E413CE" w:rsidP="00E413CE">
      <w:pPr>
        <w:numPr>
          <w:ilvl w:val="3"/>
          <w:numId w:val="27"/>
        </w:numPr>
        <w:rPr>
          <w:rFonts w:cs="Arial"/>
          <w:b/>
          <w:sz w:val="22"/>
          <w:szCs w:val="22"/>
        </w:rPr>
      </w:pPr>
      <w:r w:rsidRPr="00E413CE">
        <w:rPr>
          <w:rFonts w:cs="Arial"/>
          <w:b/>
          <w:sz w:val="22"/>
          <w:szCs w:val="22"/>
        </w:rPr>
        <w:t xml:space="preserve">Working with others: </w:t>
      </w:r>
      <w:r w:rsidRPr="00E413CE">
        <w:rPr>
          <w:rFonts w:cs="Arial"/>
          <w:sz w:val="22"/>
          <w:szCs w:val="22"/>
        </w:rPr>
        <w:t>to ensure all services are delivered by the most appropriate body.  This may require the Council to work in partnership or to facilitate provision by other bodies.</w:t>
      </w:r>
    </w:p>
    <w:p w14:paraId="591643E8" w14:textId="77777777" w:rsidR="00E413CE" w:rsidRPr="00E413CE" w:rsidRDefault="00E413CE" w:rsidP="00E413CE">
      <w:pPr>
        <w:numPr>
          <w:ilvl w:val="3"/>
          <w:numId w:val="27"/>
        </w:numPr>
        <w:rPr>
          <w:rFonts w:cs="Arial"/>
          <w:sz w:val="22"/>
          <w:szCs w:val="22"/>
        </w:rPr>
      </w:pPr>
      <w:r w:rsidRPr="00E413CE">
        <w:rPr>
          <w:rFonts w:cs="Arial"/>
          <w:b/>
          <w:sz w:val="22"/>
          <w:szCs w:val="22"/>
        </w:rPr>
        <w:t>Minimise financial risk</w:t>
      </w:r>
      <w:r w:rsidRPr="00E413CE">
        <w:rPr>
          <w:rFonts w:cs="Arial"/>
          <w:sz w:val="22"/>
          <w:szCs w:val="22"/>
        </w:rPr>
        <w:t xml:space="preserve"> including holding reserves as appropriate and sustainable levels of debt</w:t>
      </w:r>
    </w:p>
    <w:p w14:paraId="4637EDED" w14:textId="77777777" w:rsidR="00E413CE" w:rsidRPr="00E413CE" w:rsidRDefault="00E413CE" w:rsidP="00E413CE">
      <w:pPr>
        <w:rPr>
          <w:rFonts w:cs="Arial"/>
          <w:sz w:val="22"/>
          <w:szCs w:val="22"/>
        </w:rPr>
      </w:pPr>
      <w:r w:rsidRPr="00E413CE">
        <w:rPr>
          <w:rFonts w:cs="Arial"/>
          <w:sz w:val="22"/>
          <w:szCs w:val="22"/>
        </w:rPr>
        <w:t>These principles have been used to guide the Council’s financial plans.</w:t>
      </w:r>
    </w:p>
    <w:p w14:paraId="6AAF8459" w14:textId="77777777" w:rsidR="00C033F4" w:rsidRPr="0020252E" w:rsidRDefault="001321F0" w:rsidP="001321F0">
      <w:pPr>
        <w:rPr>
          <w:rFonts w:cs="Arial"/>
          <w:sz w:val="22"/>
          <w:szCs w:val="22"/>
        </w:rPr>
      </w:pPr>
      <w:r w:rsidRPr="0020252E">
        <w:rPr>
          <w:rFonts w:cs="Arial"/>
          <w:sz w:val="22"/>
          <w:szCs w:val="22"/>
        </w:rPr>
        <w:t>The Council has a proven track record in responding to the financial pressures in local government, managing with significantly reducing resources, freezing Council Tax between 2010 and 2015 while making savings of £</w:t>
      </w:r>
      <w:r w:rsidR="00B84919">
        <w:rPr>
          <w:rFonts w:cs="Arial"/>
          <w:sz w:val="22"/>
          <w:szCs w:val="22"/>
        </w:rPr>
        <w:t>2.9m since April 2014.</w:t>
      </w:r>
    </w:p>
    <w:p w14:paraId="6A752FB5" w14:textId="77777777" w:rsidR="0020252E" w:rsidRPr="0020252E" w:rsidRDefault="001321F0" w:rsidP="0020252E">
      <w:pPr>
        <w:rPr>
          <w:rFonts w:cs="Arial"/>
          <w:sz w:val="22"/>
          <w:szCs w:val="22"/>
        </w:rPr>
      </w:pPr>
      <w:r w:rsidRPr="0020252E">
        <w:rPr>
          <w:rFonts w:cs="Arial"/>
          <w:sz w:val="22"/>
          <w:szCs w:val="22"/>
        </w:rPr>
        <w:lastRenderedPageBreak/>
        <w:t>The Council’s priorities are set out in the Council Plan: (</w:t>
      </w:r>
      <w:hyperlink r:id="rId12" w:history="1">
        <w:r w:rsidR="00C644E8" w:rsidRPr="0020252E">
          <w:rPr>
            <w:rStyle w:val="Hyperlink"/>
            <w:rFonts w:cs="Arial"/>
            <w:color w:val="auto"/>
            <w:sz w:val="18"/>
            <w:szCs w:val="22"/>
          </w:rPr>
          <w:t>http://www.southlakeland.gov.uk/council-business/council-plan</w:t>
        </w:r>
        <w:r w:rsidR="00C644E8" w:rsidRPr="0020252E">
          <w:rPr>
            <w:rStyle w:val="Hyperlink"/>
            <w:rFonts w:cs="Arial"/>
            <w:color w:val="auto"/>
            <w:sz w:val="22"/>
            <w:szCs w:val="22"/>
          </w:rPr>
          <w:t>/</w:t>
        </w:r>
      </w:hyperlink>
      <w:r w:rsidRPr="0020252E">
        <w:rPr>
          <w:rFonts w:cs="Arial"/>
          <w:sz w:val="22"/>
          <w:szCs w:val="22"/>
        </w:rPr>
        <w:t>)</w:t>
      </w:r>
      <w:r w:rsidR="0020252E" w:rsidRPr="0020252E">
        <w:rPr>
          <w:rFonts w:cs="Arial"/>
          <w:sz w:val="22"/>
          <w:szCs w:val="22"/>
        </w:rPr>
        <w:t>.</w:t>
      </w:r>
      <w:r w:rsidR="00760EB4" w:rsidRPr="0020252E">
        <w:rPr>
          <w:rFonts w:cs="Arial"/>
          <w:sz w:val="22"/>
          <w:szCs w:val="22"/>
        </w:rPr>
        <w:t xml:space="preserve"> </w:t>
      </w:r>
      <w:r w:rsidR="0020252E" w:rsidRPr="0020252E">
        <w:rPr>
          <w:rFonts w:cs="Arial"/>
          <w:sz w:val="22"/>
          <w:szCs w:val="22"/>
        </w:rPr>
        <w:t>The Council Plan sets out the strategic approach to how the Council will shape delivery of the outcomes. It will be done in a number of ways:</w:t>
      </w:r>
    </w:p>
    <w:p w14:paraId="2CB429BE" w14:textId="77777777" w:rsidR="0020252E" w:rsidRPr="0020252E" w:rsidRDefault="0020252E" w:rsidP="0020252E">
      <w:pPr>
        <w:numPr>
          <w:ilvl w:val="4"/>
          <w:numId w:val="28"/>
        </w:numPr>
        <w:rPr>
          <w:rFonts w:cs="Arial"/>
          <w:sz w:val="22"/>
          <w:szCs w:val="22"/>
        </w:rPr>
      </w:pPr>
      <w:r w:rsidRPr="0020252E">
        <w:rPr>
          <w:rFonts w:cs="Arial"/>
          <w:b/>
          <w:sz w:val="22"/>
          <w:szCs w:val="22"/>
        </w:rPr>
        <w:t xml:space="preserve">More local </w:t>
      </w:r>
      <w:r w:rsidRPr="0020252E">
        <w:rPr>
          <w:rFonts w:cs="Arial"/>
          <w:sz w:val="22"/>
          <w:szCs w:val="22"/>
        </w:rPr>
        <w:t>– embracing neighbourhood working, engaging communities and empowering them to deliver on things that matter</w:t>
      </w:r>
    </w:p>
    <w:p w14:paraId="16B22296" w14:textId="77777777" w:rsidR="0020252E" w:rsidRPr="0020252E" w:rsidRDefault="0020252E" w:rsidP="0020252E">
      <w:pPr>
        <w:numPr>
          <w:ilvl w:val="4"/>
          <w:numId w:val="28"/>
        </w:numPr>
        <w:rPr>
          <w:rFonts w:cs="Arial"/>
          <w:sz w:val="22"/>
          <w:szCs w:val="22"/>
        </w:rPr>
      </w:pPr>
      <w:r w:rsidRPr="0020252E">
        <w:rPr>
          <w:rFonts w:cs="Arial"/>
          <w:b/>
          <w:sz w:val="22"/>
          <w:szCs w:val="22"/>
        </w:rPr>
        <w:t xml:space="preserve">Partnership working and collaboration </w:t>
      </w:r>
      <w:r w:rsidRPr="0020252E">
        <w:rPr>
          <w:rFonts w:cs="Arial"/>
          <w:sz w:val="22"/>
          <w:szCs w:val="22"/>
        </w:rPr>
        <w:t>– including Health and Wellbeing Forum, shared Economic Growth Strategy</w:t>
      </w:r>
    </w:p>
    <w:p w14:paraId="4AE58FAF" w14:textId="77777777" w:rsidR="0020252E" w:rsidRPr="0020252E" w:rsidRDefault="0020252E" w:rsidP="0020252E">
      <w:pPr>
        <w:numPr>
          <w:ilvl w:val="4"/>
          <w:numId w:val="28"/>
        </w:numPr>
        <w:rPr>
          <w:rFonts w:cs="Arial"/>
          <w:sz w:val="22"/>
          <w:szCs w:val="22"/>
        </w:rPr>
      </w:pPr>
      <w:r w:rsidRPr="0020252E">
        <w:rPr>
          <w:rFonts w:cs="Arial"/>
          <w:b/>
          <w:sz w:val="22"/>
          <w:szCs w:val="22"/>
        </w:rPr>
        <w:t xml:space="preserve">Stewardship </w:t>
      </w:r>
      <w:r w:rsidRPr="0020252E">
        <w:rPr>
          <w:rFonts w:cs="Arial"/>
          <w:sz w:val="22"/>
          <w:szCs w:val="22"/>
        </w:rPr>
        <w:t>-</w:t>
      </w:r>
      <w:r w:rsidRPr="0020252E">
        <w:rPr>
          <w:rFonts w:cs="Arial"/>
          <w:b/>
          <w:sz w:val="22"/>
          <w:szCs w:val="22"/>
        </w:rPr>
        <w:t xml:space="preserve">  </w:t>
      </w:r>
      <w:r w:rsidRPr="0020252E">
        <w:rPr>
          <w:rFonts w:cs="Arial"/>
          <w:sz w:val="22"/>
          <w:szCs w:val="22"/>
        </w:rPr>
        <w:t>to continue to plan and manage its resources effectively and will enhance its role as an environmental steward</w:t>
      </w:r>
    </w:p>
    <w:p w14:paraId="63C61971" w14:textId="77777777" w:rsidR="0020252E" w:rsidRPr="0020252E" w:rsidRDefault="0020252E" w:rsidP="0020252E">
      <w:pPr>
        <w:numPr>
          <w:ilvl w:val="4"/>
          <w:numId w:val="28"/>
        </w:numPr>
        <w:rPr>
          <w:rFonts w:cs="Arial"/>
          <w:sz w:val="22"/>
          <w:szCs w:val="22"/>
        </w:rPr>
      </w:pPr>
      <w:r w:rsidRPr="0020252E">
        <w:rPr>
          <w:rFonts w:cs="Arial"/>
          <w:b/>
          <w:sz w:val="22"/>
          <w:szCs w:val="22"/>
        </w:rPr>
        <w:t xml:space="preserve">Innovation – </w:t>
      </w:r>
      <w:r w:rsidRPr="0020252E">
        <w:rPr>
          <w:rFonts w:cs="Arial"/>
          <w:sz w:val="22"/>
          <w:szCs w:val="22"/>
        </w:rPr>
        <w:t>through our Customer Contact Strategy we will reduce costs by using improved technology whilst at the same time improving customer service and access to our services.</w:t>
      </w:r>
    </w:p>
    <w:p w14:paraId="41CB0155" w14:textId="77777777" w:rsidR="0020252E" w:rsidRPr="0020252E" w:rsidRDefault="0020252E" w:rsidP="0020252E">
      <w:pPr>
        <w:numPr>
          <w:ilvl w:val="4"/>
          <w:numId w:val="28"/>
        </w:numPr>
        <w:rPr>
          <w:rFonts w:cs="Arial"/>
          <w:sz w:val="22"/>
          <w:szCs w:val="22"/>
        </w:rPr>
      </w:pPr>
      <w:r w:rsidRPr="0020252E">
        <w:rPr>
          <w:rFonts w:cs="Arial"/>
          <w:b/>
          <w:sz w:val="22"/>
          <w:szCs w:val="22"/>
        </w:rPr>
        <w:t xml:space="preserve">Our Members, Our Workforce </w:t>
      </w:r>
      <w:r w:rsidRPr="0020252E">
        <w:rPr>
          <w:rFonts w:cs="Arial"/>
          <w:sz w:val="22"/>
          <w:szCs w:val="22"/>
        </w:rPr>
        <w:t>– our elected members act as advocates to ensure that the needs of the local communities are identified.  We need a workforce that is in the right place, at the right time, with the skills and motivation,</w:t>
      </w:r>
      <w:r w:rsidRPr="0020252E">
        <w:rPr>
          <w:rFonts w:cs="Arial"/>
          <w:b/>
          <w:sz w:val="22"/>
          <w:szCs w:val="22"/>
        </w:rPr>
        <w:t xml:space="preserve"> </w:t>
      </w:r>
      <w:r w:rsidRPr="0020252E">
        <w:rPr>
          <w:rFonts w:cs="Arial"/>
          <w:sz w:val="22"/>
          <w:szCs w:val="22"/>
        </w:rPr>
        <w:t>to deliver on the Council’s priorities.</w:t>
      </w:r>
    </w:p>
    <w:p w14:paraId="23FEE855" w14:textId="77777777" w:rsidR="0020252E" w:rsidRPr="0020252E" w:rsidRDefault="0020252E" w:rsidP="0020252E">
      <w:pPr>
        <w:rPr>
          <w:rFonts w:cs="Arial"/>
          <w:sz w:val="22"/>
          <w:szCs w:val="22"/>
        </w:rPr>
      </w:pPr>
      <w:r w:rsidRPr="0020252E">
        <w:rPr>
          <w:rFonts w:cs="Arial"/>
          <w:sz w:val="22"/>
          <w:szCs w:val="22"/>
        </w:rPr>
        <w:t xml:space="preserve">The Council plan details the Council’s Corporate Priorities, which are </w:t>
      </w:r>
    </w:p>
    <w:p w14:paraId="0523BF2D" w14:textId="77777777" w:rsidR="0020252E" w:rsidRPr="0020252E" w:rsidRDefault="0020252E" w:rsidP="0020252E">
      <w:pPr>
        <w:numPr>
          <w:ilvl w:val="4"/>
          <w:numId w:val="26"/>
        </w:numPr>
        <w:rPr>
          <w:rFonts w:cs="Arial"/>
          <w:sz w:val="22"/>
          <w:szCs w:val="22"/>
        </w:rPr>
      </w:pPr>
      <w:r w:rsidRPr="0020252E">
        <w:rPr>
          <w:rFonts w:cs="Arial"/>
          <w:b/>
          <w:bCs/>
          <w:sz w:val="22"/>
          <w:szCs w:val="22"/>
        </w:rPr>
        <w:lastRenderedPageBreak/>
        <w:t>Economy</w:t>
      </w:r>
      <w:r w:rsidRPr="0020252E">
        <w:rPr>
          <w:rFonts w:cs="Arial"/>
          <w:sz w:val="22"/>
          <w:szCs w:val="22"/>
        </w:rPr>
        <w:t xml:space="preserve">: “Enabling and delivering opportunities for sustainable economic growth”.  </w:t>
      </w:r>
    </w:p>
    <w:p w14:paraId="4769E0F6" w14:textId="77777777" w:rsidR="0020252E" w:rsidRPr="0020252E" w:rsidRDefault="0020252E" w:rsidP="0020252E">
      <w:pPr>
        <w:numPr>
          <w:ilvl w:val="4"/>
          <w:numId w:val="26"/>
        </w:numPr>
        <w:rPr>
          <w:rFonts w:cs="Arial"/>
          <w:sz w:val="22"/>
          <w:szCs w:val="22"/>
        </w:rPr>
      </w:pPr>
      <w:r w:rsidRPr="0020252E">
        <w:rPr>
          <w:rFonts w:cs="Arial"/>
          <w:b/>
          <w:bCs/>
          <w:sz w:val="22"/>
          <w:szCs w:val="22"/>
        </w:rPr>
        <w:t xml:space="preserve">Housing: </w:t>
      </w:r>
      <w:r w:rsidRPr="0020252E">
        <w:rPr>
          <w:rFonts w:cs="Arial"/>
          <w:sz w:val="22"/>
          <w:szCs w:val="22"/>
        </w:rPr>
        <w:t xml:space="preserve">“Providing homes to meet need”.  </w:t>
      </w:r>
    </w:p>
    <w:p w14:paraId="43E81F60" w14:textId="77777777" w:rsidR="0020252E" w:rsidRPr="0020252E" w:rsidRDefault="0020252E" w:rsidP="0020252E">
      <w:pPr>
        <w:numPr>
          <w:ilvl w:val="4"/>
          <w:numId w:val="26"/>
        </w:numPr>
        <w:rPr>
          <w:rFonts w:cs="Arial"/>
          <w:sz w:val="22"/>
          <w:szCs w:val="22"/>
        </w:rPr>
      </w:pPr>
      <w:r w:rsidRPr="0020252E">
        <w:rPr>
          <w:rFonts w:cs="Arial"/>
          <w:b/>
          <w:bCs/>
          <w:sz w:val="22"/>
          <w:szCs w:val="22"/>
        </w:rPr>
        <w:t>Environment</w:t>
      </w:r>
      <w:r w:rsidRPr="0020252E">
        <w:rPr>
          <w:rFonts w:cs="Arial"/>
          <w:sz w:val="22"/>
          <w:szCs w:val="22"/>
        </w:rPr>
        <w:t xml:space="preserve">: “Protecting and enhancing our environment”. </w:t>
      </w:r>
    </w:p>
    <w:p w14:paraId="3B086FD4" w14:textId="77777777" w:rsidR="0020252E" w:rsidRPr="0020252E" w:rsidRDefault="0020252E" w:rsidP="0020252E">
      <w:pPr>
        <w:numPr>
          <w:ilvl w:val="4"/>
          <w:numId w:val="26"/>
        </w:numPr>
        <w:rPr>
          <w:rFonts w:cs="Arial"/>
          <w:sz w:val="22"/>
          <w:szCs w:val="22"/>
        </w:rPr>
      </w:pPr>
      <w:r w:rsidRPr="0020252E">
        <w:rPr>
          <w:rFonts w:cs="Arial"/>
          <w:b/>
          <w:bCs/>
          <w:sz w:val="22"/>
          <w:szCs w:val="22"/>
        </w:rPr>
        <w:t>Health and Wellbeing</w:t>
      </w:r>
      <w:r w:rsidRPr="0020252E">
        <w:rPr>
          <w:rFonts w:cs="Arial"/>
          <w:sz w:val="22"/>
          <w:szCs w:val="22"/>
        </w:rPr>
        <w:t xml:space="preserve">: “Improving health and reducing health inequalities”. </w:t>
      </w:r>
    </w:p>
    <w:p w14:paraId="4DB6FC92" w14:textId="77777777" w:rsidR="0020252E" w:rsidRPr="0020252E" w:rsidRDefault="0020252E" w:rsidP="0020252E">
      <w:pPr>
        <w:rPr>
          <w:rFonts w:cs="Arial"/>
          <w:sz w:val="22"/>
          <w:szCs w:val="22"/>
        </w:rPr>
      </w:pPr>
      <w:r w:rsidRPr="0020252E">
        <w:rPr>
          <w:rFonts w:cs="Arial"/>
          <w:sz w:val="22"/>
          <w:szCs w:val="22"/>
        </w:rPr>
        <w:t>The Council has a long term ambition for “1000 jobs and 1000 affordable homes for rent”.</w:t>
      </w:r>
    </w:p>
    <w:p w14:paraId="00043DBE" w14:textId="77777777" w:rsidR="00D7071A" w:rsidRDefault="00D7071A" w:rsidP="001321F0">
      <w:pPr>
        <w:rPr>
          <w:rFonts w:cs="Arial"/>
          <w:sz w:val="22"/>
          <w:szCs w:val="22"/>
        </w:rPr>
      </w:pPr>
      <w:r w:rsidRPr="00D7071A">
        <w:rPr>
          <w:rFonts w:cs="Arial"/>
          <w:sz w:val="22"/>
          <w:szCs w:val="22"/>
        </w:rPr>
        <w:t>As well as identifying and delivering financial savings, the Council has ensured there is investment in the future by identifying both revenue and capital funds for service development based on the Council’s priorities</w:t>
      </w:r>
      <w:r w:rsidR="00633C0A">
        <w:rPr>
          <w:rFonts w:cs="Arial"/>
          <w:sz w:val="22"/>
          <w:szCs w:val="22"/>
        </w:rPr>
        <w:t xml:space="preserve"> and invest to save </w:t>
      </w:r>
      <w:r w:rsidR="00041CBE">
        <w:rPr>
          <w:rFonts w:cs="Arial"/>
          <w:sz w:val="22"/>
          <w:szCs w:val="22"/>
        </w:rPr>
        <w:t>initiatives</w:t>
      </w:r>
      <w:r w:rsidR="00633C0A">
        <w:rPr>
          <w:rFonts w:cs="Arial"/>
          <w:sz w:val="22"/>
          <w:szCs w:val="22"/>
        </w:rPr>
        <w:t>.</w:t>
      </w:r>
    </w:p>
    <w:p w14:paraId="3DC14730" w14:textId="77777777" w:rsidR="006C6D8A" w:rsidRPr="00D7071A" w:rsidRDefault="006C6D8A" w:rsidP="001321F0">
      <w:pPr>
        <w:rPr>
          <w:rFonts w:cs="Arial"/>
          <w:sz w:val="22"/>
          <w:szCs w:val="22"/>
        </w:rPr>
      </w:pPr>
      <w:r>
        <w:rPr>
          <w:rFonts w:cs="Arial"/>
          <w:sz w:val="22"/>
          <w:szCs w:val="22"/>
        </w:rPr>
        <w:t xml:space="preserve">The Council takes a strategic approach to service delivery.  </w:t>
      </w:r>
      <w:r w:rsidRPr="006C6D8A">
        <w:rPr>
          <w:rFonts w:cs="Arial"/>
          <w:sz w:val="22"/>
          <w:szCs w:val="22"/>
        </w:rPr>
        <w:t xml:space="preserve">A number of major strategic reviews are currently underway including the Corporate Property Strategy and review of core corporate assets, review of housing alternative models for delivery, the Kendal Town Centre </w:t>
      </w:r>
      <w:proofErr w:type="spellStart"/>
      <w:r w:rsidRPr="006C6D8A">
        <w:rPr>
          <w:rFonts w:cs="Arial"/>
          <w:sz w:val="22"/>
          <w:szCs w:val="22"/>
        </w:rPr>
        <w:t>Masterplan</w:t>
      </w:r>
      <w:proofErr w:type="spellEnd"/>
      <w:r w:rsidRPr="006C6D8A">
        <w:rPr>
          <w:rFonts w:cs="Arial"/>
          <w:sz w:val="22"/>
          <w:szCs w:val="22"/>
        </w:rPr>
        <w:t xml:space="preserve"> and use of Community Infrastructure Levy, replacement of the Local Plan with a new framework and Objectively Assessed Need, the Leisure Facilities strategy and the Economic Development Strategy. These may require changes in current spending and funding plans.</w:t>
      </w:r>
    </w:p>
    <w:p w14:paraId="3AD4D9E0" w14:textId="333A95F6" w:rsidR="001321F0" w:rsidRPr="00D7071A" w:rsidRDefault="001321F0" w:rsidP="001321F0">
      <w:pPr>
        <w:rPr>
          <w:rFonts w:cs="Arial"/>
          <w:i/>
          <w:sz w:val="22"/>
          <w:szCs w:val="22"/>
          <w:lang w:eastAsia="en-GB"/>
        </w:rPr>
      </w:pPr>
      <w:r w:rsidRPr="00D7071A">
        <w:rPr>
          <w:rFonts w:cs="Arial"/>
          <w:sz w:val="22"/>
          <w:szCs w:val="22"/>
        </w:rPr>
        <w:lastRenderedPageBreak/>
        <w:t>The Council is investing in transformation projects to deliver service improvements and savings.  The main Customer Connect programme</w:t>
      </w:r>
      <w:r w:rsidR="00C06B27" w:rsidRPr="00D7071A">
        <w:rPr>
          <w:rFonts w:cs="Arial"/>
          <w:sz w:val="22"/>
          <w:szCs w:val="22"/>
        </w:rPr>
        <w:t xml:space="preserve"> builds on the formal</w:t>
      </w:r>
      <w:r w:rsidRPr="00D7071A">
        <w:rPr>
          <w:rFonts w:cs="Arial"/>
          <w:sz w:val="22"/>
          <w:szCs w:val="22"/>
        </w:rPr>
        <w:t xml:space="preserve"> Shared IT Service with Eden District Council since April 2012</w:t>
      </w:r>
      <w:r w:rsidR="00C06B27" w:rsidRPr="00D7071A">
        <w:rPr>
          <w:rFonts w:cs="Arial"/>
          <w:sz w:val="22"/>
          <w:szCs w:val="22"/>
        </w:rPr>
        <w:t xml:space="preserve"> and will deliver the </w:t>
      </w:r>
      <w:r w:rsidRPr="00D7071A">
        <w:rPr>
          <w:rFonts w:cs="Arial"/>
          <w:sz w:val="22"/>
          <w:szCs w:val="22"/>
          <w:lang w:eastAsia="en-GB"/>
        </w:rPr>
        <w:t>Customer Contact Strategy:</w:t>
      </w:r>
      <w:r w:rsidR="00C06B27" w:rsidRPr="00D7071A">
        <w:rPr>
          <w:rFonts w:cs="Arial"/>
          <w:sz w:val="22"/>
          <w:szCs w:val="22"/>
          <w:lang w:eastAsia="en-GB"/>
        </w:rPr>
        <w:t xml:space="preserve"> </w:t>
      </w:r>
      <w:r w:rsidRPr="00D7071A">
        <w:rPr>
          <w:rFonts w:cs="Arial"/>
          <w:i/>
          <w:sz w:val="22"/>
          <w:szCs w:val="22"/>
          <w:lang w:eastAsia="en-GB"/>
        </w:rPr>
        <w:t>To improve the lives of our residents by delivering the services and support they require in a way which suits them and provides the best value for money for taxpayers.</w:t>
      </w:r>
    </w:p>
    <w:p w14:paraId="12B73B1F" w14:textId="77777777" w:rsidR="001321F0" w:rsidRPr="00D7071A" w:rsidRDefault="001321F0" w:rsidP="001321F0">
      <w:pPr>
        <w:rPr>
          <w:rFonts w:cs="Arial"/>
          <w:sz w:val="22"/>
          <w:szCs w:val="22"/>
          <w:lang w:eastAsia="en-GB"/>
        </w:rPr>
      </w:pPr>
      <w:r w:rsidRPr="00D7071A">
        <w:rPr>
          <w:rFonts w:cs="Arial"/>
          <w:sz w:val="22"/>
          <w:szCs w:val="22"/>
          <w:lang w:eastAsia="en-GB"/>
        </w:rPr>
        <w:t>The strategy set out a set of guiding principles on which it would be delivered:</w:t>
      </w:r>
    </w:p>
    <w:p w14:paraId="1A63D873" w14:textId="77777777" w:rsidR="001321F0" w:rsidRPr="00D7071A" w:rsidRDefault="001321F0" w:rsidP="00C06B27">
      <w:pPr>
        <w:spacing w:after="0"/>
        <w:ind w:left="720"/>
        <w:rPr>
          <w:rFonts w:cs="Arial"/>
          <w:sz w:val="22"/>
          <w:szCs w:val="22"/>
          <w:lang w:eastAsia="en-GB"/>
        </w:rPr>
      </w:pPr>
      <w:r w:rsidRPr="00D7071A">
        <w:rPr>
          <w:rFonts w:cs="Arial"/>
          <w:sz w:val="22"/>
          <w:szCs w:val="22"/>
          <w:lang w:eastAsia="en-GB"/>
        </w:rPr>
        <w:t>1. Fully understanding what our customers require</w:t>
      </w:r>
    </w:p>
    <w:p w14:paraId="0373727F" w14:textId="77777777" w:rsidR="001321F0" w:rsidRPr="00D7071A" w:rsidRDefault="001321F0" w:rsidP="00C06B27">
      <w:pPr>
        <w:spacing w:after="0"/>
        <w:ind w:left="720"/>
        <w:rPr>
          <w:rFonts w:cs="Arial"/>
          <w:sz w:val="22"/>
          <w:szCs w:val="22"/>
          <w:lang w:eastAsia="en-GB"/>
        </w:rPr>
      </w:pPr>
      <w:r w:rsidRPr="00D7071A">
        <w:rPr>
          <w:rFonts w:cs="Arial"/>
          <w:sz w:val="22"/>
          <w:szCs w:val="22"/>
          <w:lang w:eastAsia="en-GB"/>
        </w:rPr>
        <w:t>2. Maximise the use of digital channels</w:t>
      </w:r>
    </w:p>
    <w:p w14:paraId="7EFC26E2" w14:textId="77777777" w:rsidR="001321F0" w:rsidRPr="00D7071A" w:rsidRDefault="001321F0" w:rsidP="00C06B27">
      <w:pPr>
        <w:spacing w:after="0"/>
        <w:ind w:left="720"/>
        <w:rPr>
          <w:rFonts w:cs="Arial"/>
          <w:sz w:val="22"/>
          <w:szCs w:val="22"/>
          <w:lang w:eastAsia="en-GB"/>
        </w:rPr>
      </w:pPr>
      <w:r w:rsidRPr="00D7071A">
        <w:rPr>
          <w:rFonts w:cs="Arial"/>
          <w:sz w:val="22"/>
          <w:szCs w:val="22"/>
          <w:lang w:eastAsia="en-GB"/>
        </w:rPr>
        <w:t>3. Empower customers to self-serve</w:t>
      </w:r>
    </w:p>
    <w:p w14:paraId="2A6CA783" w14:textId="77777777" w:rsidR="001321F0" w:rsidRPr="00D7071A" w:rsidRDefault="001321F0" w:rsidP="00C06B27">
      <w:pPr>
        <w:spacing w:after="0"/>
        <w:ind w:left="720"/>
        <w:rPr>
          <w:rFonts w:cs="Arial"/>
          <w:sz w:val="22"/>
          <w:szCs w:val="22"/>
          <w:lang w:eastAsia="en-GB"/>
        </w:rPr>
      </w:pPr>
      <w:r w:rsidRPr="00D7071A">
        <w:rPr>
          <w:rFonts w:cs="Arial"/>
          <w:sz w:val="22"/>
          <w:szCs w:val="22"/>
          <w:lang w:eastAsia="en-GB"/>
        </w:rPr>
        <w:t>4. Support access and independence</w:t>
      </w:r>
    </w:p>
    <w:p w14:paraId="2563065D" w14:textId="77777777" w:rsidR="001321F0" w:rsidRPr="00D7071A" w:rsidRDefault="001321F0" w:rsidP="00C06B27">
      <w:pPr>
        <w:spacing w:after="0"/>
        <w:ind w:left="720"/>
        <w:rPr>
          <w:rFonts w:cs="Arial"/>
          <w:sz w:val="22"/>
          <w:szCs w:val="22"/>
          <w:lang w:eastAsia="en-GB"/>
        </w:rPr>
      </w:pPr>
      <w:r w:rsidRPr="00D7071A">
        <w:rPr>
          <w:rFonts w:cs="Arial"/>
          <w:sz w:val="22"/>
          <w:szCs w:val="22"/>
          <w:lang w:eastAsia="en-GB"/>
        </w:rPr>
        <w:t>5. Deliver services in a streamlined way</w:t>
      </w:r>
    </w:p>
    <w:p w14:paraId="62F7D2FC" w14:textId="77777777" w:rsidR="001321F0" w:rsidRPr="00D7071A" w:rsidRDefault="001321F0" w:rsidP="00C06B27">
      <w:pPr>
        <w:spacing w:after="0"/>
        <w:ind w:left="720"/>
        <w:rPr>
          <w:rFonts w:cs="Arial"/>
          <w:sz w:val="22"/>
          <w:szCs w:val="22"/>
          <w:lang w:eastAsia="en-GB"/>
        </w:rPr>
      </w:pPr>
      <w:r w:rsidRPr="00D7071A">
        <w:rPr>
          <w:rFonts w:cs="Arial"/>
          <w:sz w:val="22"/>
          <w:szCs w:val="22"/>
          <w:lang w:eastAsia="en-GB"/>
        </w:rPr>
        <w:t xml:space="preserve">6. The customer channel of choice is accessible </w:t>
      </w:r>
    </w:p>
    <w:p w14:paraId="5865E609" w14:textId="77777777" w:rsidR="001321F0" w:rsidRPr="00D7071A" w:rsidRDefault="001321F0" w:rsidP="00C06B27">
      <w:pPr>
        <w:spacing w:after="0"/>
        <w:ind w:left="720"/>
        <w:rPr>
          <w:rFonts w:cs="Arial"/>
          <w:sz w:val="22"/>
          <w:szCs w:val="22"/>
          <w:lang w:eastAsia="en-GB"/>
        </w:rPr>
      </w:pPr>
    </w:p>
    <w:p w14:paraId="5836D4F7" w14:textId="77777777" w:rsidR="000A6CE4" w:rsidRPr="00D7071A" w:rsidRDefault="00C06B27" w:rsidP="000A6CE4">
      <w:pPr>
        <w:spacing w:after="0"/>
        <w:rPr>
          <w:sz w:val="22"/>
          <w:szCs w:val="22"/>
          <w:lang w:eastAsia="en-GB"/>
        </w:rPr>
      </w:pPr>
      <w:r w:rsidRPr="00D7071A">
        <w:rPr>
          <w:rFonts w:cs="Arial"/>
          <w:sz w:val="22"/>
          <w:szCs w:val="22"/>
          <w:lang w:eastAsia="en-GB"/>
        </w:rPr>
        <w:t xml:space="preserve">The programme will have three strands: digital, people and places. </w:t>
      </w:r>
      <w:r w:rsidR="000A6CE4" w:rsidRPr="00D7071A">
        <w:rPr>
          <w:rFonts w:cs="Arial"/>
          <w:sz w:val="22"/>
          <w:szCs w:val="22"/>
          <w:lang w:eastAsia="en-GB"/>
        </w:rPr>
        <w:t>T</w:t>
      </w:r>
      <w:r w:rsidR="000A6CE4" w:rsidRPr="00D7071A">
        <w:rPr>
          <w:sz w:val="22"/>
          <w:szCs w:val="22"/>
          <w:lang w:eastAsia="en-GB"/>
        </w:rPr>
        <w:t>h</w:t>
      </w:r>
      <w:r w:rsidR="006C6D8A">
        <w:rPr>
          <w:sz w:val="22"/>
          <w:szCs w:val="22"/>
          <w:lang w:eastAsia="en-GB"/>
        </w:rPr>
        <w:t>e key outputs for the programme are:</w:t>
      </w:r>
      <w:r w:rsidR="000A6CE4" w:rsidRPr="00D7071A">
        <w:rPr>
          <w:sz w:val="22"/>
          <w:szCs w:val="22"/>
          <w:lang w:eastAsia="en-GB"/>
        </w:rPr>
        <w:t xml:space="preserve"> </w:t>
      </w:r>
    </w:p>
    <w:p w14:paraId="4A94DE92" w14:textId="77777777" w:rsidR="000A6CE4" w:rsidRPr="00D7071A" w:rsidRDefault="000A6CE4" w:rsidP="000A6CE4">
      <w:pPr>
        <w:numPr>
          <w:ilvl w:val="0"/>
          <w:numId w:val="25"/>
        </w:numPr>
        <w:spacing w:after="0"/>
        <w:ind w:left="1434" w:hanging="357"/>
        <w:rPr>
          <w:sz w:val="22"/>
          <w:szCs w:val="22"/>
          <w:lang w:eastAsia="en-GB"/>
        </w:rPr>
      </w:pPr>
      <w:r w:rsidRPr="00D7071A">
        <w:rPr>
          <w:sz w:val="22"/>
          <w:szCs w:val="22"/>
          <w:lang w:eastAsia="en-GB"/>
        </w:rPr>
        <w:t>Save a minimum of £850,000 (year on year)</w:t>
      </w:r>
    </w:p>
    <w:p w14:paraId="4C2B74E2" w14:textId="77777777" w:rsidR="000A6CE4" w:rsidRPr="00D7071A" w:rsidRDefault="000A6CE4" w:rsidP="000A6CE4">
      <w:pPr>
        <w:numPr>
          <w:ilvl w:val="0"/>
          <w:numId w:val="25"/>
        </w:numPr>
        <w:spacing w:after="0"/>
        <w:ind w:left="1434" w:hanging="357"/>
        <w:rPr>
          <w:sz w:val="22"/>
          <w:szCs w:val="22"/>
          <w:lang w:eastAsia="en-GB"/>
        </w:rPr>
      </w:pPr>
      <w:r w:rsidRPr="00D7071A">
        <w:rPr>
          <w:sz w:val="22"/>
          <w:szCs w:val="22"/>
          <w:lang w:eastAsia="en-GB"/>
        </w:rPr>
        <w:t>Have fewer roles in the organisation</w:t>
      </w:r>
    </w:p>
    <w:p w14:paraId="3A2FE6E1" w14:textId="77777777" w:rsidR="000A6CE4" w:rsidRPr="00D7071A" w:rsidRDefault="000A6CE4" w:rsidP="000A6CE4">
      <w:pPr>
        <w:numPr>
          <w:ilvl w:val="0"/>
          <w:numId w:val="25"/>
        </w:numPr>
        <w:spacing w:after="0"/>
        <w:ind w:left="1434" w:hanging="357"/>
        <w:rPr>
          <w:sz w:val="22"/>
          <w:szCs w:val="22"/>
          <w:lang w:eastAsia="en-GB"/>
        </w:rPr>
      </w:pPr>
      <w:r w:rsidRPr="00D7071A">
        <w:rPr>
          <w:sz w:val="22"/>
          <w:szCs w:val="22"/>
          <w:lang w:eastAsia="en-GB"/>
        </w:rPr>
        <w:t>A new structure with clearly defined roles  (a need to reinvent roles)</w:t>
      </w:r>
    </w:p>
    <w:p w14:paraId="5AB92B57" w14:textId="77777777" w:rsidR="000A6CE4" w:rsidRPr="00D7071A" w:rsidRDefault="000A6CE4" w:rsidP="000A6CE4">
      <w:pPr>
        <w:numPr>
          <w:ilvl w:val="0"/>
          <w:numId w:val="25"/>
        </w:numPr>
        <w:spacing w:after="0"/>
        <w:ind w:left="1434" w:hanging="357"/>
        <w:rPr>
          <w:sz w:val="22"/>
          <w:szCs w:val="22"/>
          <w:lang w:eastAsia="en-GB"/>
        </w:rPr>
      </w:pPr>
      <w:r w:rsidRPr="00D7071A">
        <w:rPr>
          <w:sz w:val="22"/>
          <w:szCs w:val="22"/>
          <w:lang w:eastAsia="en-GB"/>
        </w:rPr>
        <w:t>New Agile digital platform with opportunities for Members, staff and customers to improve service delivery</w:t>
      </w:r>
    </w:p>
    <w:p w14:paraId="0CC08E23" w14:textId="77777777" w:rsidR="000A6CE4" w:rsidRPr="00D7071A" w:rsidRDefault="000A6CE4" w:rsidP="000A6CE4">
      <w:pPr>
        <w:numPr>
          <w:ilvl w:val="0"/>
          <w:numId w:val="25"/>
        </w:numPr>
        <w:spacing w:after="0"/>
        <w:ind w:left="1434" w:hanging="357"/>
        <w:rPr>
          <w:sz w:val="22"/>
          <w:szCs w:val="22"/>
          <w:lang w:eastAsia="en-GB"/>
        </w:rPr>
      </w:pPr>
      <w:r w:rsidRPr="00D7071A">
        <w:rPr>
          <w:sz w:val="22"/>
          <w:szCs w:val="22"/>
          <w:lang w:eastAsia="en-GB"/>
        </w:rPr>
        <w:t>New opportunities for those who want it, an exciting place to work with a strong brand</w:t>
      </w:r>
    </w:p>
    <w:p w14:paraId="52198CE9" w14:textId="77777777" w:rsidR="000A6CE4" w:rsidRDefault="000A6CE4" w:rsidP="000A6CE4">
      <w:pPr>
        <w:numPr>
          <w:ilvl w:val="0"/>
          <w:numId w:val="25"/>
        </w:numPr>
        <w:spacing w:after="0"/>
        <w:ind w:left="1434" w:hanging="357"/>
        <w:rPr>
          <w:sz w:val="22"/>
          <w:szCs w:val="22"/>
          <w:lang w:eastAsia="en-GB"/>
        </w:rPr>
      </w:pPr>
      <w:proofErr w:type="spellStart"/>
      <w:r w:rsidRPr="00D7071A">
        <w:rPr>
          <w:sz w:val="22"/>
          <w:szCs w:val="22"/>
          <w:lang w:eastAsia="en-GB"/>
        </w:rPr>
        <w:lastRenderedPageBreak/>
        <w:t>Upskilled</w:t>
      </w:r>
      <w:proofErr w:type="spellEnd"/>
      <w:r w:rsidRPr="00D7071A">
        <w:rPr>
          <w:sz w:val="22"/>
          <w:szCs w:val="22"/>
          <w:lang w:eastAsia="en-GB"/>
        </w:rPr>
        <w:t xml:space="preserve"> staff and Members, demonstrating the right behaviours (as set out in the Personal Qualities Framework)</w:t>
      </w:r>
    </w:p>
    <w:p w14:paraId="393FA953" w14:textId="77777777" w:rsidR="006C6D8A" w:rsidRDefault="006C6D8A" w:rsidP="006C6D8A">
      <w:pPr>
        <w:rPr>
          <w:sz w:val="22"/>
          <w:lang w:eastAsia="en-GB"/>
        </w:rPr>
      </w:pPr>
      <w:r w:rsidRPr="006C6D8A">
        <w:rPr>
          <w:sz w:val="22"/>
          <w:lang w:eastAsia="en-GB"/>
        </w:rPr>
        <w:t>There will be a significant improvement on our mobile working solutions for staff and how they operate within the council. There is also a need to review our assets. Identifying the best solutions to deliver services locally and looking at our requirements based on our future state. We will also look at how we do business across the district, supporting the Council’s localism agenda and neighbourhood planning work with other key stakeholders including the National Parks and Cumbria County Council.</w:t>
      </w:r>
    </w:p>
    <w:sectPr w:rsidR="006C6D8A">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E20E9B" w14:textId="77777777" w:rsidR="00302A6D" w:rsidRDefault="00302A6D" w:rsidP="00BC6704">
      <w:pPr>
        <w:spacing w:after="0"/>
      </w:pPr>
      <w:r>
        <w:separator/>
      </w:r>
    </w:p>
  </w:endnote>
  <w:endnote w:type="continuationSeparator" w:id="0">
    <w:p w14:paraId="61FC7EE5" w14:textId="77777777" w:rsidR="00302A6D" w:rsidRDefault="00302A6D" w:rsidP="00BC67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1183386"/>
      <w:docPartObj>
        <w:docPartGallery w:val="Page Numbers (Bottom of Page)"/>
        <w:docPartUnique/>
      </w:docPartObj>
    </w:sdtPr>
    <w:sdtEndPr>
      <w:rPr>
        <w:noProof/>
      </w:rPr>
    </w:sdtEndPr>
    <w:sdtContent>
      <w:p w14:paraId="226EF182" w14:textId="77777777" w:rsidR="00F17DEA" w:rsidRDefault="00F17DEA">
        <w:pPr>
          <w:pStyle w:val="Footer"/>
          <w:jc w:val="center"/>
        </w:pPr>
        <w:r>
          <w:fldChar w:fldCharType="begin"/>
        </w:r>
        <w:r>
          <w:instrText xml:space="preserve"> PAGE   \* MERGEFORMAT </w:instrText>
        </w:r>
        <w:r>
          <w:fldChar w:fldCharType="separate"/>
        </w:r>
        <w:r w:rsidR="00F810E6">
          <w:rPr>
            <w:noProof/>
          </w:rPr>
          <w:t>3</w:t>
        </w:r>
        <w:r>
          <w:rPr>
            <w:noProof/>
          </w:rPr>
          <w:fldChar w:fldCharType="end"/>
        </w:r>
      </w:p>
    </w:sdtContent>
  </w:sdt>
  <w:p w14:paraId="1533BF60" w14:textId="77777777" w:rsidR="00F17DEA" w:rsidRDefault="00F17D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8EF5D5" w14:textId="77777777" w:rsidR="00302A6D" w:rsidRDefault="00302A6D" w:rsidP="00BC6704">
      <w:pPr>
        <w:spacing w:after="0"/>
      </w:pPr>
      <w:r>
        <w:separator/>
      </w:r>
    </w:p>
  </w:footnote>
  <w:footnote w:type="continuationSeparator" w:id="0">
    <w:p w14:paraId="4B9602E8" w14:textId="77777777" w:rsidR="00302A6D" w:rsidRDefault="00302A6D" w:rsidP="00BC6704">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4339A"/>
    <w:multiLevelType w:val="hybridMultilevel"/>
    <w:tmpl w:val="14CE83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75C772F"/>
    <w:multiLevelType w:val="hybridMultilevel"/>
    <w:tmpl w:val="145A3F8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061EE1"/>
    <w:multiLevelType w:val="hybridMultilevel"/>
    <w:tmpl w:val="A70CE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2A60A5"/>
    <w:multiLevelType w:val="hybridMultilevel"/>
    <w:tmpl w:val="1B1424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B03048F"/>
    <w:multiLevelType w:val="hybridMultilevel"/>
    <w:tmpl w:val="3C6A0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30030B"/>
    <w:multiLevelType w:val="hybridMultilevel"/>
    <w:tmpl w:val="DD860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C7662A"/>
    <w:multiLevelType w:val="hybridMultilevel"/>
    <w:tmpl w:val="67B652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3D71EB8"/>
    <w:multiLevelType w:val="multilevel"/>
    <w:tmpl w:val="767012D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lowerLetter"/>
      <w:lvlText w:val="%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5932937"/>
    <w:multiLevelType w:val="hybridMultilevel"/>
    <w:tmpl w:val="04F8FF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5AF5214"/>
    <w:multiLevelType w:val="hybridMultilevel"/>
    <w:tmpl w:val="329E510E"/>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10" w15:restartNumberingAfterBreak="0">
    <w:nsid w:val="2AD73EC5"/>
    <w:multiLevelType w:val="hybridMultilevel"/>
    <w:tmpl w:val="9CA88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C55653"/>
    <w:multiLevelType w:val="multilevel"/>
    <w:tmpl w:val="07663BA8"/>
    <w:lvl w:ilvl="0">
      <w:start w:val="1"/>
      <w:numFmt w:val="decimal"/>
      <w:lvlText w:val="%1."/>
      <w:lvlJc w:val="left"/>
      <w:pPr>
        <w:ind w:left="360" w:hanging="360"/>
      </w:pPr>
    </w:lvl>
    <w:lvl w:ilvl="1">
      <w:start w:val="1"/>
      <w:numFmt w:val="decimal"/>
      <w:lvlText w:val="%1.%2."/>
      <w:lvlJc w:val="left"/>
      <w:pPr>
        <w:ind w:left="715"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lowerLetter"/>
      <w:lvlText w:val="%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FD70FD2"/>
    <w:multiLevelType w:val="hybridMultilevel"/>
    <w:tmpl w:val="E774E1BE"/>
    <w:lvl w:ilvl="0" w:tplc="5506444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8E285C"/>
    <w:multiLevelType w:val="hybridMultilevel"/>
    <w:tmpl w:val="F8AEE7C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41371684"/>
    <w:multiLevelType w:val="multilevel"/>
    <w:tmpl w:val="2F4E079C"/>
    <w:lvl w:ilvl="0">
      <w:start w:val="1"/>
      <w:numFmt w:val="decimal"/>
      <w:lvlText w:val="%1."/>
      <w:lvlJc w:val="left"/>
      <w:pPr>
        <w:ind w:left="360" w:hanging="360"/>
      </w:pPr>
    </w:lvl>
    <w:lvl w:ilvl="1">
      <w:start w:val="1"/>
      <w:numFmt w:val="decimal"/>
      <w:lvlText w:val="%1.%2."/>
      <w:lvlJc w:val="left"/>
      <w:pPr>
        <w:ind w:left="715"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7D16AE2"/>
    <w:multiLevelType w:val="hybridMultilevel"/>
    <w:tmpl w:val="396C4EA8"/>
    <w:lvl w:ilvl="0" w:tplc="08090001">
      <w:start w:val="1"/>
      <w:numFmt w:val="bullet"/>
      <w:lvlText w:val=""/>
      <w:lvlJc w:val="left"/>
      <w:pPr>
        <w:ind w:left="945" w:hanging="360"/>
      </w:pPr>
      <w:rPr>
        <w:rFonts w:ascii="Symbol" w:hAnsi="Symbol" w:hint="default"/>
      </w:rPr>
    </w:lvl>
    <w:lvl w:ilvl="1" w:tplc="08090003" w:tentative="1">
      <w:start w:val="1"/>
      <w:numFmt w:val="bullet"/>
      <w:lvlText w:val="o"/>
      <w:lvlJc w:val="left"/>
      <w:pPr>
        <w:ind w:left="1665" w:hanging="360"/>
      </w:pPr>
      <w:rPr>
        <w:rFonts w:ascii="Courier New" w:hAnsi="Courier New" w:cs="Courier New" w:hint="default"/>
      </w:rPr>
    </w:lvl>
    <w:lvl w:ilvl="2" w:tplc="08090005" w:tentative="1">
      <w:start w:val="1"/>
      <w:numFmt w:val="bullet"/>
      <w:lvlText w:val=""/>
      <w:lvlJc w:val="left"/>
      <w:pPr>
        <w:ind w:left="2385" w:hanging="360"/>
      </w:pPr>
      <w:rPr>
        <w:rFonts w:ascii="Wingdings" w:hAnsi="Wingdings" w:hint="default"/>
      </w:rPr>
    </w:lvl>
    <w:lvl w:ilvl="3" w:tplc="08090001" w:tentative="1">
      <w:start w:val="1"/>
      <w:numFmt w:val="bullet"/>
      <w:lvlText w:val=""/>
      <w:lvlJc w:val="left"/>
      <w:pPr>
        <w:ind w:left="3105" w:hanging="360"/>
      </w:pPr>
      <w:rPr>
        <w:rFonts w:ascii="Symbol" w:hAnsi="Symbol" w:hint="default"/>
      </w:rPr>
    </w:lvl>
    <w:lvl w:ilvl="4" w:tplc="08090003" w:tentative="1">
      <w:start w:val="1"/>
      <w:numFmt w:val="bullet"/>
      <w:lvlText w:val="o"/>
      <w:lvlJc w:val="left"/>
      <w:pPr>
        <w:ind w:left="3825" w:hanging="360"/>
      </w:pPr>
      <w:rPr>
        <w:rFonts w:ascii="Courier New" w:hAnsi="Courier New" w:cs="Courier New" w:hint="default"/>
      </w:rPr>
    </w:lvl>
    <w:lvl w:ilvl="5" w:tplc="08090005" w:tentative="1">
      <w:start w:val="1"/>
      <w:numFmt w:val="bullet"/>
      <w:lvlText w:val=""/>
      <w:lvlJc w:val="left"/>
      <w:pPr>
        <w:ind w:left="4545" w:hanging="360"/>
      </w:pPr>
      <w:rPr>
        <w:rFonts w:ascii="Wingdings" w:hAnsi="Wingdings" w:hint="default"/>
      </w:rPr>
    </w:lvl>
    <w:lvl w:ilvl="6" w:tplc="08090001" w:tentative="1">
      <w:start w:val="1"/>
      <w:numFmt w:val="bullet"/>
      <w:lvlText w:val=""/>
      <w:lvlJc w:val="left"/>
      <w:pPr>
        <w:ind w:left="5265" w:hanging="360"/>
      </w:pPr>
      <w:rPr>
        <w:rFonts w:ascii="Symbol" w:hAnsi="Symbol" w:hint="default"/>
      </w:rPr>
    </w:lvl>
    <w:lvl w:ilvl="7" w:tplc="08090003" w:tentative="1">
      <w:start w:val="1"/>
      <w:numFmt w:val="bullet"/>
      <w:lvlText w:val="o"/>
      <w:lvlJc w:val="left"/>
      <w:pPr>
        <w:ind w:left="5985" w:hanging="360"/>
      </w:pPr>
      <w:rPr>
        <w:rFonts w:ascii="Courier New" w:hAnsi="Courier New" w:cs="Courier New" w:hint="default"/>
      </w:rPr>
    </w:lvl>
    <w:lvl w:ilvl="8" w:tplc="08090005" w:tentative="1">
      <w:start w:val="1"/>
      <w:numFmt w:val="bullet"/>
      <w:lvlText w:val=""/>
      <w:lvlJc w:val="left"/>
      <w:pPr>
        <w:ind w:left="6705" w:hanging="360"/>
      </w:pPr>
      <w:rPr>
        <w:rFonts w:ascii="Wingdings" w:hAnsi="Wingdings" w:hint="default"/>
      </w:rPr>
    </w:lvl>
  </w:abstractNum>
  <w:abstractNum w:abstractNumId="16" w15:restartNumberingAfterBreak="0">
    <w:nsid w:val="4AB94F07"/>
    <w:multiLevelType w:val="multilevel"/>
    <w:tmpl w:val="BCCC4E1C"/>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lowerLetter"/>
      <w:lvlText w:val="%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0D53376"/>
    <w:multiLevelType w:val="hybridMultilevel"/>
    <w:tmpl w:val="C17C6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4E76DDE"/>
    <w:multiLevelType w:val="hybridMultilevel"/>
    <w:tmpl w:val="5EF20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AE54B89"/>
    <w:multiLevelType w:val="hybridMultilevel"/>
    <w:tmpl w:val="27FC7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DDD2AAA"/>
    <w:multiLevelType w:val="hybridMultilevel"/>
    <w:tmpl w:val="F6DAB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EBB4D51"/>
    <w:multiLevelType w:val="hybridMultilevel"/>
    <w:tmpl w:val="C17428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04B444E"/>
    <w:multiLevelType w:val="hybridMultilevel"/>
    <w:tmpl w:val="33F83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2306C39"/>
    <w:multiLevelType w:val="hybridMultilevel"/>
    <w:tmpl w:val="4E6A9A76"/>
    <w:lvl w:ilvl="0" w:tplc="08090017">
      <w:start w:val="1"/>
      <w:numFmt w:val="lowerLetter"/>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77FB1C55"/>
    <w:multiLevelType w:val="hybridMultilevel"/>
    <w:tmpl w:val="2E4A2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9126861"/>
    <w:multiLevelType w:val="hybridMultilevel"/>
    <w:tmpl w:val="2570C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9ED5DA6"/>
    <w:multiLevelType w:val="hybridMultilevel"/>
    <w:tmpl w:val="DC5E8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AEB5D78"/>
    <w:multiLevelType w:val="hybridMultilevel"/>
    <w:tmpl w:val="3B908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7"/>
  </w:num>
  <w:num w:numId="3">
    <w:abstractNumId w:val="6"/>
  </w:num>
  <w:num w:numId="4">
    <w:abstractNumId w:val="5"/>
  </w:num>
  <w:num w:numId="5">
    <w:abstractNumId w:val="24"/>
  </w:num>
  <w:num w:numId="6">
    <w:abstractNumId w:val="23"/>
  </w:num>
  <w:num w:numId="7">
    <w:abstractNumId w:val="9"/>
  </w:num>
  <w:num w:numId="8">
    <w:abstractNumId w:val="1"/>
  </w:num>
  <w:num w:numId="9">
    <w:abstractNumId w:val="27"/>
  </w:num>
  <w:num w:numId="10">
    <w:abstractNumId w:val="18"/>
  </w:num>
  <w:num w:numId="11">
    <w:abstractNumId w:val="19"/>
  </w:num>
  <w:num w:numId="12">
    <w:abstractNumId w:val="2"/>
  </w:num>
  <w:num w:numId="13">
    <w:abstractNumId w:val="12"/>
  </w:num>
  <w:num w:numId="14">
    <w:abstractNumId w:val="4"/>
  </w:num>
  <w:num w:numId="15">
    <w:abstractNumId w:val="25"/>
  </w:num>
  <w:num w:numId="16">
    <w:abstractNumId w:val="22"/>
  </w:num>
  <w:num w:numId="17">
    <w:abstractNumId w:val="10"/>
  </w:num>
  <w:num w:numId="18">
    <w:abstractNumId w:val="15"/>
  </w:num>
  <w:num w:numId="19">
    <w:abstractNumId w:val="26"/>
  </w:num>
  <w:num w:numId="20">
    <w:abstractNumId w:val="20"/>
  </w:num>
  <w:num w:numId="21">
    <w:abstractNumId w:val="21"/>
  </w:num>
  <w:num w:numId="22">
    <w:abstractNumId w:val="8"/>
  </w:num>
  <w:num w:numId="23">
    <w:abstractNumId w:val="11"/>
  </w:num>
  <w:num w:numId="24">
    <w:abstractNumId w:val="3"/>
  </w:num>
  <w:num w:numId="25">
    <w:abstractNumId w:val="0"/>
  </w:num>
  <w:num w:numId="26">
    <w:abstractNumId w:val="14"/>
  </w:num>
  <w:num w:numId="27">
    <w:abstractNumId w:val="16"/>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54A"/>
    <w:rsid w:val="00002C39"/>
    <w:rsid w:val="0003622D"/>
    <w:rsid w:val="00041CBE"/>
    <w:rsid w:val="000634C2"/>
    <w:rsid w:val="000735D6"/>
    <w:rsid w:val="000826ED"/>
    <w:rsid w:val="000A6CE4"/>
    <w:rsid w:val="000B723A"/>
    <w:rsid w:val="000E1825"/>
    <w:rsid w:val="00111E17"/>
    <w:rsid w:val="001321F0"/>
    <w:rsid w:val="0019291F"/>
    <w:rsid w:val="001A00D9"/>
    <w:rsid w:val="001A426A"/>
    <w:rsid w:val="001C489D"/>
    <w:rsid w:val="0020252E"/>
    <w:rsid w:val="002028CA"/>
    <w:rsid w:val="00222229"/>
    <w:rsid w:val="00222840"/>
    <w:rsid w:val="00275A3D"/>
    <w:rsid w:val="002E2D6F"/>
    <w:rsid w:val="002E654A"/>
    <w:rsid w:val="002F5293"/>
    <w:rsid w:val="00302A6D"/>
    <w:rsid w:val="00353F26"/>
    <w:rsid w:val="003655A5"/>
    <w:rsid w:val="00371357"/>
    <w:rsid w:val="003A0D77"/>
    <w:rsid w:val="003C37C2"/>
    <w:rsid w:val="003D7B08"/>
    <w:rsid w:val="00420936"/>
    <w:rsid w:val="0042155F"/>
    <w:rsid w:val="00421D73"/>
    <w:rsid w:val="00431F20"/>
    <w:rsid w:val="004372A8"/>
    <w:rsid w:val="00440815"/>
    <w:rsid w:val="00441C8F"/>
    <w:rsid w:val="00455983"/>
    <w:rsid w:val="0045644E"/>
    <w:rsid w:val="004621B6"/>
    <w:rsid w:val="00486997"/>
    <w:rsid w:val="00494F7C"/>
    <w:rsid w:val="004B4A4D"/>
    <w:rsid w:val="004B7FF3"/>
    <w:rsid w:val="004C332A"/>
    <w:rsid w:val="004E48B9"/>
    <w:rsid w:val="00505052"/>
    <w:rsid w:val="005109ED"/>
    <w:rsid w:val="00517A06"/>
    <w:rsid w:val="00532F0D"/>
    <w:rsid w:val="005361BF"/>
    <w:rsid w:val="00544CAD"/>
    <w:rsid w:val="00553B20"/>
    <w:rsid w:val="005A0E58"/>
    <w:rsid w:val="005B10F6"/>
    <w:rsid w:val="005C4FC1"/>
    <w:rsid w:val="00617493"/>
    <w:rsid w:val="00626139"/>
    <w:rsid w:val="00631638"/>
    <w:rsid w:val="00633388"/>
    <w:rsid w:val="006335D1"/>
    <w:rsid w:val="00633C0A"/>
    <w:rsid w:val="00650E06"/>
    <w:rsid w:val="006553C1"/>
    <w:rsid w:val="00671600"/>
    <w:rsid w:val="006723A1"/>
    <w:rsid w:val="00680F5B"/>
    <w:rsid w:val="006A0672"/>
    <w:rsid w:val="006A2D9E"/>
    <w:rsid w:val="006C6D8A"/>
    <w:rsid w:val="006D1D66"/>
    <w:rsid w:val="006E354A"/>
    <w:rsid w:val="006E6DD6"/>
    <w:rsid w:val="006F7F51"/>
    <w:rsid w:val="00722893"/>
    <w:rsid w:val="0073030E"/>
    <w:rsid w:val="00760EB4"/>
    <w:rsid w:val="00761DDA"/>
    <w:rsid w:val="00791607"/>
    <w:rsid w:val="00791DE3"/>
    <w:rsid w:val="007B4CA7"/>
    <w:rsid w:val="007C63AB"/>
    <w:rsid w:val="007C6ECE"/>
    <w:rsid w:val="007D55F7"/>
    <w:rsid w:val="007F06F4"/>
    <w:rsid w:val="007F331B"/>
    <w:rsid w:val="0082692B"/>
    <w:rsid w:val="00830A2D"/>
    <w:rsid w:val="008A7BD0"/>
    <w:rsid w:val="008C77F1"/>
    <w:rsid w:val="008D790E"/>
    <w:rsid w:val="008E11A6"/>
    <w:rsid w:val="008E4397"/>
    <w:rsid w:val="00941D96"/>
    <w:rsid w:val="00942109"/>
    <w:rsid w:val="009528AE"/>
    <w:rsid w:val="00954583"/>
    <w:rsid w:val="0099773E"/>
    <w:rsid w:val="009A72CC"/>
    <w:rsid w:val="009D3891"/>
    <w:rsid w:val="009E0141"/>
    <w:rsid w:val="009F133A"/>
    <w:rsid w:val="00A01737"/>
    <w:rsid w:val="00A070ED"/>
    <w:rsid w:val="00A15DAC"/>
    <w:rsid w:val="00A4438F"/>
    <w:rsid w:val="00A46A37"/>
    <w:rsid w:val="00A50A2C"/>
    <w:rsid w:val="00A8412E"/>
    <w:rsid w:val="00AB29BD"/>
    <w:rsid w:val="00AE6BE2"/>
    <w:rsid w:val="00B0065B"/>
    <w:rsid w:val="00B03551"/>
    <w:rsid w:val="00B142B6"/>
    <w:rsid w:val="00B319B2"/>
    <w:rsid w:val="00B84919"/>
    <w:rsid w:val="00B94452"/>
    <w:rsid w:val="00BB3804"/>
    <w:rsid w:val="00BC6704"/>
    <w:rsid w:val="00BF60E7"/>
    <w:rsid w:val="00C00B8D"/>
    <w:rsid w:val="00C033F4"/>
    <w:rsid w:val="00C06B27"/>
    <w:rsid w:val="00C16F5E"/>
    <w:rsid w:val="00C17EC6"/>
    <w:rsid w:val="00C644E8"/>
    <w:rsid w:val="00C70D78"/>
    <w:rsid w:val="00C7622A"/>
    <w:rsid w:val="00C85986"/>
    <w:rsid w:val="00CA3CB1"/>
    <w:rsid w:val="00CB2FF3"/>
    <w:rsid w:val="00CB3002"/>
    <w:rsid w:val="00CF3EAC"/>
    <w:rsid w:val="00D5531C"/>
    <w:rsid w:val="00D7071A"/>
    <w:rsid w:val="00DA4794"/>
    <w:rsid w:val="00DA718B"/>
    <w:rsid w:val="00DC4296"/>
    <w:rsid w:val="00DE15F8"/>
    <w:rsid w:val="00DE4298"/>
    <w:rsid w:val="00E010A6"/>
    <w:rsid w:val="00E03E84"/>
    <w:rsid w:val="00E413CE"/>
    <w:rsid w:val="00E6348E"/>
    <w:rsid w:val="00E8156D"/>
    <w:rsid w:val="00E818AB"/>
    <w:rsid w:val="00E96018"/>
    <w:rsid w:val="00EB4A47"/>
    <w:rsid w:val="00EC1ACD"/>
    <w:rsid w:val="00EC69B4"/>
    <w:rsid w:val="00ED0994"/>
    <w:rsid w:val="00EE6FAC"/>
    <w:rsid w:val="00EF5051"/>
    <w:rsid w:val="00EF5611"/>
    <w:rsid w:val="00F02113"/>
    <w:rsid w:val="00F1127A"/>
    <w:rsid w:val="00F175EC"/>
    <w:rsid w:val="00F17DEA"/>
    <w:rsid w:val="00F224E7"/>
    <w:rsid w:val="00F50001"/>
    <w:rsid w:val="00F50AB3"/>
    <w:rsid w:val="00F810E6"/>
    <w:rsid w:val="00F87996"/>
    <w:rsid w:val="00FA1D10"/>
    <w:rsid w:val="00FA40BC"/>
    <w:rsid w:val="00FB0E47"/>
    <w:rsid w:val="00FB6764"/>
    <w:rsid w:val="00FD30B7"/>
    <w:rsid w:val="00FD623D"/>
    <w:rsid w:val="00FF02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564F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21B6"/>
    <w:pPr>
      <w:spacing w:after="120" w:line="240" w:lineRule="auto"/>
    </w:pPr>
    <w:rPr>
      <w:rFonts w:ascii="Arial" w:eastAsia="Times New Roman" w:hAnsi="Arial" w:cs="Times New Roman"/>
      <w:sz w:val="24"/>
      <w:szCs w:val="20"/>
    </w:rPr>
  </w:style>
  <w:style w:type="paragraph" w:styleId="Heading1">
    <w:name w:val="heading 1"/>
    <w:basedOn w:val="Normal"/>
    <w:next w:val="Normal"/>
    <w:link w:val="Heading1Char"/>
    <w:autoRedefine/>
    <w:qFormat/>
    <w:rsid w:val="001321F0"/>
    <w:pPr>
      <w:keepNext/>
      <w:pBdr>
        <w:top w:val="single" w:sz="12" w:space="1" w:color="auto"/>
        <w:bottom w:val="single" w:sz="12" w:space="1" w:color="auto"/>
      </w:pBdr>
      <w:shd w:val="solid" w:color="FFFFFF" w:fill="auto"/>
      <w:spacing w:before="240" w:after="240"/>
      <w:outlineLvl w:val="0"/>
    </w:pPr>
    <w:rPr>
      <w:rFonts w:ascii="Calibri" w:hAnsi="Calibri" w:cs="Arial"/>
      <w:b/>
      <w:bCs/>
      <w:color w:val="2E74B5"/>
      <w:kern w:val="32"/>
      <w:sz w:val="28"/>
      <w:szCs w:val="22"/>
      <w:lang w:val="en-US" w:eastAsia="en-GB"/>
    </w:rPr>
  </w:style>
  <w:style w:type="paragraph" w:styleId="Heading2">
    <w:name w:val="heading 2"/>
    <w:basedOn w:val="Normal"/>
    <w:next w:val="Normal"/>
    <w:link w:val="Heading2Char"/>
    <w:autoRedefine/>
    <w:qFormat/>
    <w:rsid w:val="001321F0"/>
    <w:pPr>
      <w:keepNext/>
      <w:pBdr>
        <w:bottom w:val="single" w:sz="4" w:space="1" w:color="2E74B5"/>
      </w:pBdr>
      <w:shd w:val="clear" w:color="F82F00" w:fill="auto"/>
      <w:spacing w:before="240" w:after="240"/>
      <w:outlineLvl w:val="1"/>
    </w:pPr>
    <w:rPr>
      <w:rFonts w:eastAsia="Calibri" w:cs="Arial"/>
      <w:b/>
      <w:color w:val="5B9BD5"/>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09ED"/>
    <w:rPr>
      <w:color w:val="0000FF" w:themeColor="hyperlink"/>
      <w:u w:val="single"/>
    </w:rPr>
  </w:style>
  <w:style w:type="paragraph" w:styleId="Header">
    <w:name w:val="header"/>
    <w:basedOn w:val="Normal"/>
    <w:link w:val="HeaderChar"/>
    <w:unhideWhenUsed/>
    <w:rsid w:val="00BC6704"/>
    <w:pPr>
      <w:tabs>
        <w:tab w:val="center" w:pos="4513"/>
        <w:tab w:val="right" w:pos="9026"/>
      </w:tabs>
      <w:spacing w:after="0"/>
    </w:pPr>
  </w:style>
  <w:style w:type="character" w:customStyle="1" w:styleId="HeaderChar">
    <w:name w:val="Header Char"/>
    <w:basedOn w:val="DefaultParagraphFont"/>
    <w:link w:val="Header"/>
    <w:rsid w:val="00BC6704"/>
    <w:rPr>
      <w:rFonts w:ascii="Arial" w:eastAsia="Times New Roman" w:hAnsi="Arial" w:cs="Times New Roman"/>
      <w:sz w:val="24"/>
      <w:szCs w:val="20"/>
    </w:rPr>
  </w:style>
  <w:style w:type="paragraph" w:styleId="Footer">
    <w:name w:val="footer"/>
    <w:basedOn w:val="Normal"/>
    <w:link w:val="FooterChar"/>
    <w:uiPriority w:val="99"/>
    <w:unhideWhenUsed/>
    <w:rsid w:val="00BC6704"/>
    <w:pPr>
      <w:tabs>
        <w:tab w:val="center" w:pos="4513"/>
        <w:tab w:val="right" w:pos="9026"/>
      </w:tabs>
      <w:spacing w:after="0"/>
    </w:pPr>
  </w:style>
  <w:style w:type="character" w:customStyle="1" w:styleId="FooterChar">
    <w:name w:val="Footer Char"/>
    <w:basedOn w:val="DefaultParagraphFont"/>
    <w:link w:val="Footer"/>
    <w:uiPriority w:val="99"/>
    <w:rsid w:val="00BC6704"/>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680F5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0F5B"/>
    <w:rPr>
      <w:rFonts w:ascii="Tahoma" w:eastAsia="Times New Roman" w:hAnsi="Tahoma" w:cs="Tahoma"/>
      <w:sz w:val="16"/>
      <w:szCs w:val="16"/>
    </w:rPr>
  </w:style>
  <w:style w:type="table" w:styleId="TableGrid">
    <w:name w:val="Table Grid"/>
    <w:basedOn w:val="TableNormal"/>
    <w:uiPriority w:val="39"/>
    <w:rsid w:val="00830A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E15F8"/>
    <w:rPr>
      <w:color w:val="800080" w:themeColor="followedHyperlink"/>
      <w:u w:val="single"/>
    </w:rPr>
  </w:style>
  <w:style w:type="paragraph" w:customStyle="1" w:styleId="Default">
    <w:name w:val="Default"/>
    <w:rsid w:val="00CB3002"/>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CB3002"/>
    <w:pPr>
      <w:spacing w:after="160" w:line="259" w:lineRule="auto"/>
      <w:ind w:left="720"/>
      <w:contextualSpacing/>
    </w:pPr>
    <w:rPr>
      <w:rFonts w:asciiTheme="minorHAnsi" w:eastAsiaTheme="minorHAnsi" w:hAnsiTheme="minorHAnsi" w:cstheme="minorBidi"/>
      <w:sz w:val="22"/>
      <w:szCs w:val="22"/>
    </w:rPr>
  </w:style>
  <w:style w:type="paragraph" w:styleId="BodyTextIndent">
    <w:name w:val="Body Text Indent"/>
    <w:basedOn w:val="Normal"/>
    <w:link w:val="BodyTextIndentChar"/>
    <w:semiHidden/>
    <w:rsid w:val="009F133A"/>
    <w:pPr>
      <w:ind w:left="720" w:hanging="720"/>
      <w:jc w:val="both"/>
    </w:pPr>
    <w:rPr>
      <w:sz w:val="22"/>
    </w:rPr>
  </w:style>
  <w:style w:type="character" w:customStyle="1" w:styleId="BodyTextIndentChar">
    <w:name w:val="Body Text Indent Char"/>
    <w:basedOn w:val="DefaultParagraphFont"/>
    <w:link w:val="BodyTextIndent"/>
    <w:semiHidden/>
    <w:rsid w:val="009F133A"/>
    <w:rPr>
      <w:rFonts w:ascii="Arial" w:eastAsia="Times New Roman" w:hAnsi="Arial" w:cs="Times New Roman"/>
      <w:szCs w:val="20"/>
    </w:rPr>
  </w:style>
  <w:style w:type="character" w:customStyle="1" w:styleId="Heading1Char">
    <w:name w:val="Heading 1 Char"/>
    <w:basedOn w:val="DefaultParagraphFont"/>
    <w:link w:val="Heading1"/>
    <w:rsid w:val="001321F0"/>
    <w:rPr>
      <w:rFonts w:ascii="Calibri" w:eastAsia="Times New Roman" w:hAnsi="Calibri" w:cs="Arial"/>
      <w:b/>
      <w:bCs/>
      <w:color w:val="2E74B5"/>
      <w:kern w:val="32"/>
      <w:sz w:val="28"/>
      <w:shd w:val="solid" w:color="FFFFFF" w:fill="auto"/>
      <w:lang w:val="en-US" w:eastAsia="en-GB"/>
    </w:rPr>
  </w:style>
  <w:style w:type="character" w:customStyle="1" w:styleId="Heading2Char">
    <w:name w:val="Heading 2 Char"/>
    <w:basedOn w:val="DefaultParagraphFont"/>
    <w:link w:val="Heading2"/>
    <w:rsid w:val="001321F0"/>
    <w:rPr>
      <w:rFonts w:ascii="Arial" w:eastAsia="Calibri" w:hAnsi="Arial" w:cs="Arial"/>
      <w:b/>
      <w:color w:val="5B9BD5"/>
      <w:sz w:val="24"/>
      <w:shd w:val="clear" w:color="F82F00" w:fill="auto"/>
      <w:lang w:eastAsia="en-GB"/>
    </w:rPr>
  </w:style>
  <w:style w:type="paragraph" w:styleId="BodyText2">
    <w:name w:val="Body Text 2"/>
    <w:basedOn w:val="Normal"/>
    <w:link w:val="BodyText2Char"/>
    <w:semiHidden/>
    <w:unhideWhenUsed/>
    <w:rsid w:val="0020252E"/>
    <w:pPr>
      <w:spacing w:line="480" w:lineRule="auto"/>
    </w:pPr>
  </w:style>
  <w:style w:type="character" w:customStyle="1" w:styleId="BodyText2Char">
    <w:name w:val="Body Text 2 Char"/>
    <w:basedOn w:val="DefaultParagraphFont"/>
    <w:link w:val="BodyText2"/>
    <w:semiHidden/>
    <w:rsid w:val="0020252E"/>
    <w:rPr>
      <w:rFonts w:ascii="Arial" w:eastAsia="Times New Roman" w:hAnsi="Arial" w:cs="Times New Roman"/>
      <w:sz w:val="24"/>
      <w:szCs w:val="20"/>
    </w:rPr>
  </w:style>
  <w:style w:type="character" w:styleId="CommentReference">
    <w:name w:val="annotation reference"/>
    <w:basedOn w:val="DefaultParagraphFont"/>
    <w:uiPriority w:val="99"/>
    <w:semiHidden/>
    <w:unhideWhenUsed/>
    <w:rsid w:val="00B03551"/>
    <w:rPr>
      <w:sz w:val="16"/>
      <w:szCs w:val="16"/>
    </w:rPr>
  </w:style>
  <w:style w:type="paragraph" w:styleId="CommentText">
    <w:name w:val="annotation text"/>
    <w:basedOn w:val="Normal"/>
    <w:link w:val="CommentTextChar"/>
    <w:uiPriority w:val="99"/>
    <w:semiHidden/>
    <w:unhideWhenUsed/>
    <w:rsid w:val="00B03551"/>
    <w:rPr>
      <w:sz w:val="20"/>
    </w:rPr>
  </w:style>
  <w:style w:type="character" w:customStyle="1" w:styleId="CommentTextChar">
    <w:name w:val="Comment Text Char"/>
    <w:basedOn w:val="DefaultParagraphFont"/>
    <w:link w:val="CommentText"/>
    <w:uiPriority w:val="99"/>
    <w:semiHidden/>
    <w:rsid w:val="00B03551"/>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B03551"/>
    <w:rPr>
      <w:b/>
      <w:bCs/>
    </w:rPr>
  </w:style>
  <w:style w:type="character" w:customStyle="1" w:styleId="CommentSubjectChar">
    <w:name w:val="Comment Subject Char"/>
    <w:basedOn w:val="CommentTextChar"/>
    <w:link w:val="CommentSubject"/>
    <w:uiPriority w:val="99"/>
    <w:semiHidden/>
    <w:rsid w:val="00B03551"/>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29377">
      <w:bodyDiv w:val="1"/>
      <w:marLeft w:val="0"/>
      <w:marRight w:val="0"/>
      <w:marTop w:val="0"/>
      <w:marBottom w:val="0"/>
      <w:divBdr>
        <w:top w:val="none" w:sz="0" w:space="0" w:color="auto"/>
        <w:left w:val="none" w:sz="0" w:space="0" w:color="auto"/>
        <w:bottom w:val="none" w:sz="0" w:space="0" w:color="auto"/>
        <w:right w:val="none" w:sz="0" w:space="0" w:color="auto"/>
      </w:divBdr>
    </w:div>
    <w:div w:id="966549706">
      <w:bodyDiv w:val="1"/>
      <w:marLeft w:val="0"/>
      <w:marRight w:val="0"/>
      <w:marTop w:val="0"/>
      <w:marBottom w:val="0"/>
      <w:divBdr>
        <w:top w:val="none" w:sz="0" w:space="0" w:color="auto"/>
        <w:left w:val="none" w:sz="0" w:space="0" w:color="auto"/>
        <w:bottom w:val="none" w:sz="0" w:space="0" w:color="auto"/>
        <w:right w:val="none" w:sz="0" w:space="0" w:color="auto"/>
      </w:divBdr>
    </w:div>
    <w:div w:id="1043208890">
      <w:bodyDiv w:val="1"/>
      <w:marLeft w:val="0"/>
      <w:marRight w:val="0"/>
      <w:marTop w:val="0"/>
      <w:marBottom w:val="0"/>
      <w:divBdr>
        <w:top w:val="none" w:sz="0" w:space="0" w:color="auto"/>
        <w:left w:val="none" w:sz="0" w:space="0" w:color="auto"/>
        <w:bottom w:val="none" w:sz="0" w:space="0" w:color="auto"/>
        <w:right w:val="none" w:sz="0" w:space="0" w:color="auto"/>
      </w:divBdr>
    </w:div>
    <w:div w:id="1651859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outhlakeland.gov.uk/council-business/council-pla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outhlakeland.gov.uk/your-council/council-business/finance/medium-term-financial-plan/"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son.habbershon\Desktop\General%20Repor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3e497434-1873-4644-8edb-3140be27c6e3">Report Writing</Category>
    <Restriction xmlns="3e497434-1873-4644-8edb-3140be27c6e3">Public</Restriction>
    <Last_x0020_Revised xmlns="3e497434-1873-4644-8edb-3140be27c6e3" xsi:nil="true"/>
    <Document_x0020_Type xmlns="3e497434-1873-4644-8edb-3140be27c6e3">Template</Document_x0020_Typ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F3762018AAF4A49B688CF1320786B5F" ma:contentTypeVersion="4" ma:contentTypeDescription="Create a new document." ma:contentTypeScope="" ma:versionID="efceda5e68cc8d87264a29e440c63eaf">
  <xsd:schema xmlns:xsd="http://www.w3.org/2001/XMLSchema" xmlns:xs="http://www.w3.org/2001/XMLSchema" xmlns:p="http://schemas.microsoft.com/office/2006/metadata/properties" xmlns:ns2="3e497434-1873-4644-8edb-3140be27c6e3" targetNamespace="http://schemas.microsoft.com/office/2006/metadata/properties" ma:root="true" ma:fieldsID="04cfc71904b13e6a7397cfa37f919211" ns2:_="">
    <xsd:import namespace="3e497434-1873-4644-8edb-3140be27c6e3"/>
    <xsd:element name="properties">
      <xsd:complexType>
        <xsd:sequence>
          <xsd:element name="documentManagement">
            <xsd:complexType>
              <xsd:all>
                <xsd:element ref="ns2:Category" minOccurs="0"/>
                <xsd:element ref="ns2:Last_x0020_Revised" minOccurs="0"/>
                <xsd:element ref="ns2:Document_x0020_Type" minOccurs="0"/>
                <xsd:element ref="ns2:Restri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497434-1873-4644-8edb-3140be27c6e3" elementFormDefault="qualified">
    <xsd:import namespace="http://schemas.microsoft.com/office/2006/documentManagement/types"/>
    <xsd:import namespace="http://schemas.microsoft.com/office/infopath/2007/PartnerControls"/>
    <xsd:element name="Category" ma:index="8" nillable="true" ma:displayName="Category" ma:format="Dropdown" ma:internalName="Category">
      <xsd:simpleType>
        <xsd:restriction base="dms:Choice">
          <xsd:enumeration value="Calendar of Meetings"/>
          <xsd:enumeration value="Code of Conduct"/>
          <xsd:enumeration value="Constitution"/>
          <xsd:enumeration value="Councillors"/>
          <xsd:enumeration value="Forward Plan"/>
          <xsd:enumeration value="Meetings"/>
          <xsd:enumeration value="Report Writing"/>
          <xsd:enumeration value="Scrutiny"/>
        </xsd:restriction>
      </xsd:simpleType>
    </xsd:element>
    <xsd:element name="Last_x0020_Revised" ma:index="9" nillable="true" ma:displayName="Note" ma:internalName="Last_x0020_Revised">
      <xsd:simpleType>
        <xsd:restriction base="dms:Text">
          <xsd:maxLength value="255"/>
        </xsd:restriction>
      </xsd:simpleType>
    </xsd:element>
    <xsd:element name="Document_x0020_Type" ma:index="10" nillable="true" ma:displayName="Document Type" ma:format="Dropdown" ma:internalName="Document_x0020_Type">
      <xsd:simpleType>
        <xsd:restriction base="dms:Choice">
          <xsd:enumeration value="Correspondence"/>
          <xsd:enumeration value="Form"/>
          <xsd:enumeration value="Government Guidance"/>
          <xsd:enumeration value="Information"/>
          <xsd:enumeration value="Notice/Sign"/>
          <xsd:enumeration value="Policy"/>
          <xsd:enumeration value="Procedure"/>
          <xsd:enumeration value="Template"/>
          <xsd:enumeration value="Training"/>
        </xsd:restriction>
      </xsd:simpleType>
    </xsd:element>
    <xsd:element name="Restriction" ma:index="11" nillable="true" ma:displayName="Security" ma:format="Dropdown" ma:internalName="Restriction">
      <xsd:simpleType>
        <xsd:restriction base="dms:Choice">
          <xsd:enumeration value="Confidential"/>
          <xsd:enumeration value="Restricted"/>
          <xsd:enumeration value="Public"/>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0F88D7-809C-4880-BA08-57775FB5DCCF}">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3e497434-1873-4644-8edb-3140be27c6e3"/>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62B4EADE-1698-4141-8AD7-5BD7DFD60B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497434-1873-4644-8edb-3140be27c6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41A971-DA33-4284-B6EE-B0F14D77987B}">
  <ds:schemaRefs>
    <ds:schemaRef ds:uri="http://schemas.microsoft.com/sharepoint/v3/contenttype/forms"/>
  </ds:schemaRefs>
</ds:datastoreItem>
</file>

<file path=customXml/itemProps4.xml><?xml version="1.0" encoding="utf-8"?>
<ds:datastoreItem xmlns:ds="http://schemas.openxmlformats.org/officeDocument/2006/customXml" ds:itemID="{54D57022-F80E-426F-A97B-BC7693214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General Report Template</Template>
  <TotalTime>0</TotalTime>
  <Pages>3</Pages>
  <Words>1199</Words>
  <Characters>6835</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2018-03-22T15:36:00Z</dcterms:created>
  <dcterms:modified xsi:type="dcterms:W3CDTF">2018-03-22T15:41:00Z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0x0101009F3762018AAF4A49B688CF1320786B5F</vt:lpwstr>
  </property>
</Properties>
</file>