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9.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theme/theme1.xml" ContentType="application/vnd.openxmlformats-officedocument.theme+xml"/>
  <Override PartName="/word/charts/chart7.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2.xml" ContentType="application/vnd.openxmlformats-officedocument.drawingml.chart+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customXml/itemProps1.xml" ContentType="application/vnd.openxmlformats-officedocument.customXmlPropertie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glossary/stylesWithEffects.xml" ContentType="application/vnd.ms-word.stylesWithEffect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CE8" w:rsidRDefault="00123834" w:rsidP="00123834">
      <w:pPr>
        <w:pStyle w:val="NoSpacing"/>
      </w:pPr>
      <w:r w:rsidRPr="00123834">
        <w:rPr>
          <w:rFonts w:ascii="Arial" w:hAnsi="Arial" w:cs="Arial"/>
          <w:noProof/>
          <w:lang w:eastAsia="en-GB"/>
        </w:rPr>
        <w:drawing>
          <wp:inline distT="0" distB="0" distL="0" distR="0" wp14:anchorId="1508EBFB" wp14:editId="1251B150">
            <wp:extent cx="5714700" cy="1171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175021"/>
                    </a:xfrm>
                    <a:prstGeom prst="rect">
                      <a:avLst/>
                    </a:prstGeom>
                  </pic:spPr>
                </pic:pic>
              </a:graphicData>
            </a:graphic>
          </wp:inline>
        </w:drawing>
      </w:r>
    </w:p>
    <w:p w:rsidR="00123834" w:rsidRDefault="00A4653C" w:rsidP="00A4653C">
      <w:pPr>
        <w:pStyle w:val="NoSpacing"/>
        <w:jc w:val="center"/>
        <w:rPr>
          <w:rFonts w:ascii="Arial" w:hAnsi="Arial" w:cs="Arial"/>
          <w:b/>
          <w:color w:val="4F81BD" w:themeColor="accent1"/>
          <w:sz w:val="40"/>
        </w:rPr>
      </w:pPr>
      <w:r>
        <w:rPr>
          <w:rFonts w:ascii="Arial" w:hAnsi="Arial" w:cs="Arial"/>
          <w:b/>
          <w:color w:val="4F81BD" w:themeColor="accent1"/>
          <w:sz w:val="40"/>
        </w:rPr>
        <w:t>Profile 2013</w:t>
      </w:r>
    </w:p>
    <w:p w:rsidR="000054EE" w:rsidRPr="000054EE" w:rsidRDefault="005C74C7" w:rsidP="000054EE">
      <w:pPr>
        <w:pStyle w:val="NoSpacing"/>
        <w:rPr>
          <w:rFonts w:ascii="Arial" w:hAnsi="Arial" w:cs="Arial"/>
          <w:color w:val="4F81BD" w:themeColor="accent1"/>
        </w:rPr>
      </w:pPr>
      <w:r>
        <w:rPr>
          <w:rFonts w:ascii="Arial" w:hAnsi="Arial" w:cs="Arial"/>
          <w:noProof/>
          <w:color w:val="4F81BD" w:themeColor="accent1"/>
          <w:lang w:eastAsia="en-GB"/>
        </w:rPr>
        <w:drawing>
          <wp:inline distT="0" distB="0" distL="0" distR="0">
            <wp:extent cx="5724525" cy="7343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al LAP.jpg"/>
                    <pic:cNvPicPr/>
                  </pic:nvPicPr>
                  <pic:blipFill>
                    <a:blip r:embed="rId10">
                      <a:extLst>
                        <a:ext uri="{28A0092B-C50C-407E-A947-70E740481C1C}">
                          <a14:useLocalDpi xmlns:a14="http://schemas.microsoft.com/office/drawing/2010/main" val="0"/>
                        </a:ext>
                      </a:extLst>
                    </a:blip>
                    <a:stretch>
                      <a:fillRect/>
                    </a:stretch>
                  </pic:blipFill>
                  <pic:spPr>
                    <a:xfrm>
                      <a:off x="0" y="0"/>
                      <a:ext cx="5724525" cy="7343775"/>
                    </a:xfrm>
                    <a:prstGeom prst="rect">
                      <a:avLst/>
                    </a:prstGeom>
                  </pic:spPr>
                </pic:pic>
              </a:graphicData>
            </a:graphic>
          </wp:inline>
        </w:drawing>
      </w:r>
    </w:p>
    <w:p w:rsidR="00A4653C" w:rsidRDefault="00CD3D68" w:rsidP="00A4653C">
      <w:pPr>
        <w:pStyle w:val="NoSpacing"/>
        <w:rPr>
          <w:rFonts w:ascii="Arial" w:hAnsi="Arial" w:cs="Arial"/>
          <w:b/>
          <w:color w:val="4F81BD" w:themeColor="accent1"/>
          <w:sz w:val="28"/>
        </w:rPr>
      </w:pPr>
      <w:r>
        <w:rPr>
          <w:rFonts w:ascii="Arial" w:hAnsi="Arial" w:cs="Arial"/>
          <w:b/>
          <w:color w:val="4F81BD" w:themeColor="accent1"/>
          <w:sz w:val="28"/>
        </w:rPr>
        <w:lastRenderedPageBreak/>
        <w:t>About this profile</w:t>
      </w:r>
    </w:p>
    <w:p w:rsidR="00CD3D68" w:rsidRDefault="00CD3D68" w:rsidP="00A4653C">
      <w:pPr>
        <w:pStyle w:val="NoSpacing"/>
        <w:rPr>
          <w:rFonts w:ascii="Arial" w:hAnsi="Arial" w:cs="Arial"/>
        </w:rPr>
      </w:pPr>
    </w:p>
    <w:p w:rsidR="00CD3D68" w:rsidRDefault="00CD3D68" w:rsidP="00A4653C">
      <w:pPr>
        <w:pStyle w:val="NoSpacing"/>
        <w:rPr>
          <w:rFonts w:ascii="Arial" w:hAnsi="Arial" w:cs="Arial"/>
        </w:rPr>
      </w:pPr>
      <w:r>
        <w:rPr>
          <w:rFonts w:ascii="Arial" w:hAnsi="Arial" w:cs="Arial"/>
        </w:rPr>
        <w:t>The aim of this profile is to provide the Local Area Partnership with background data and intelligence about the characteristics of the area. In this way the partnership can better assess how it needs to focus its efforts.</w:t>
      </w:r>
    </w:p>
    <w:p w:rsidR="00CD3D68" w:rsidRDefault="00CD3D68" w:rsidP="00A4653C">
      <w:pPr>
        <w:pStyle w:val="NoSpacing"/>
        <w:rPr>
          <w:rFonts w:ascii="Arial" w:hAnsi="Arial" w:cs="Arial"/>
        </w:rPr>
      </w:pPr>
    </w:p>
    <w:p w:rsidR="00CD3D68" w:rsidRDefault="00CD3D68" w:rsidP="00A4653C">
      <w:pPr>
        <w:pStyle w:val="NoSpacing"/>
        <w:rPr>
          <w:rFonts w:ascii="Arial" w:hAnsi="Arial" w:cs="Arial"/>
        </w:rPr>
      </w:pPr>
      <w:r>
        <w:rPr>
          <w:rFonts w:ascii="Arial" w:hAnsi="Arial" w:cs="Arial"/>
        </w:rPr>
        <w:t xml:space="preserve">The majority of the data used in the profile is Census 2011 data. This was collected in March 2011, and gives the most accurate and up-to-date picture of the area possible. </w:t>
      </w:r>
    </w:p>
    <w:p w:rsidR="00CD3D68" w:rsidRDefault="00CD3D68" w:rsidP="00A4653C">
      <w:pPr>
        <w:pStyle w:val="NoSpacing"/>
        <w:rPr>
          <w:rFonts w:ascii="Arial" w:hAnsi="Arial" w:cs="Arial"/>
        </w:rPr>
      </w:pPr>
    </w:p>
    <w:p w:rsidR="00CD3D68" w:rsidRDefault="00CD3D68" w:rsidP="00A4653C">
      <w:pPr>
        <w:pStyle w:val="NoSpacing"/>
        <w:rPr>
          <w:rFonts w:ascii="Arial" w:hAnsi="Arial" w:cs="Arial"/>
        </w:rPr>
      </w:pPr>
      <w:r>
        <w:rPr>
          <w:rFonts w:ascii="Arial" w:hAnsi="Arial" w:cs="Arial"/>
        </w:rPr>
        <w:t xml:space="preserve">Whilst every effort has been made to provide accurate data, some figures are estimates due to complications with disaggregation. </w:t>
      </w:r>
    </w:p>
    <w:p w:rsidR="00CD3D68" w:rsidRDefault="00CD3D68" w:rsidP="00A4653C">
      <w:pPr>
        <w:pStyle w:val="NoSpacing"/>
        <w:rPr>
          <w:rFonts w:ascii="Arial" w:hAnsi="Arial" w:cs="Arial"/>
        </w:rPr>
      </w:pPr>
    </w:p>
    <w:sdt>
      <w:sdtPr>
        <w:id w:val="172075803"/>
        <w:docPartObj>
          <w:docPartGallery w:val="Table of Contents"/>
          <w:docPartUnique/>
        </w:docPartObj>
      </w:sdtPr>
      <w:sdtEndPr>
        <w:rPr>
          <w:rFonts w:ascii="Arial" w:eastAsia="Times New Roman" w:hAnsi="Arial" w:cs="Arial"/>
          <w:noProof/>
          <w:color w:val="auto"/>
          <w:sz w:val="24"/>
          <w:szCs w:val="24"/>
          <w:lang w:eastAsia="en-US"/>
        </w:rPr>
      </w:sdtEndPr>
      <w:sdtContent>
        <w:p w:rsidR="005328D1" w:rsidRDefault="005328D1">
          <w:pPr>
            <w:pStyle w:val="TOCHeading"/>
            <w:rPr>
              <w:rFonts w:ascii="Arial" w:hAnsi="Arial" w:cs="Arial"/>
              <w:color w:val="4F81BD" w:themeColor="accent1"/>
              <w:szCs w:val="22"/>
            </w:rPr>
          </w:pPr>
          <w:r w:rsidRPr="005328D1">
            <w:rPr>
              <w:rFonts w:ascii="Arial" w:hAnsi="Arial" w:cs="Arial"/>
              <w:color w:val="4F81BD" w:themeColor="accent1"/>
              <w:szCs w:val="22"/>
            </w:rPr>
            <w:t>Table of Contents</w:t>
          </w:r>
        </w:p>
        <w:p w:rsidR="005328D1" w:rsidRPr="005328D1" w:rsidRDefault="005328D1" w:rsidP="005328D1">
          <w:pPr>
            <w:rPr>
              <w:lang w:eastAsia="ja-JP"/>
            </w:rPr>
          </w:pPr>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r w:rsidRPr="005328D1">
            <w:rPr>
              <w:b/>
              <w:sz w:val="22"/>
              <w:szCs w:val="22"/>
            </w:rPr>
            <w:fldChar w:fldCharType="begin"/>
          </w:r>
          <w:r w:rsidRPr="005328D1">
            <w:rPr>
              <w:b/>
              <w:sz w:val="22"/>
              <w:szCs w:val="22"/>
            </w:rPr>
            <w:instrText xml:space="preserve"> TOC \o "1-3" \h \z \u </w:instrText>
          </w:r>
          <w:r w:rsidRPr="005328D1">
            <w:rPr>
              <w:b/>
              <w:sz w:val="22"/>
              <w:szCs w:val="22"/>
            </w:rPr>
            <w:fldChar w:fldCharType="separate"/>
          </w:r>
          <w:hyperlink w:anchor="_Toc364152046" w:history="1">
            <w:r w:rsidRPr="005328D1">
              <w:rPr>
                <w:rStyle w:val="Hyperlink"/>
                <w:b/>
                <w:noProof/>
                <w:sz w:val="22"/>
                <w:szCs w:val="22"/>
              </w:rPr>
              <w:t>Kendal Local Area Partnership in Perspective</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_Toc364152046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3</w:t>
            </w:r>
            <w:r w:rsidRPr="005328D1">
              <w:rPr>
                <w:b/>
                <w:noProof/>
                <w:webHidden/>
                <w:sz w:val="22"/>
                <w:szCs w:val="22"/>
              </w:rPr>
              <w:fldChar w:fldCharType="end"/>
            </w:r>
          </w:hyperlink>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hyperlink w:anchor="_Toc364152047" w:history="1">
            <w:r w:rsidRPr="005328D1">
              <w:rPr>
                <w:rStyle w:val="Hyperlink"/>
                <w:b/>
                <w:noProof/>
                <w:sz w:val="22"/>
                <w:szCs w:val="22"/>
              </w:rPr>
              <w:t>Kendal LAP – Ward Map</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_Toc364152047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4</w:t>
            </w:r>
            <w:r w:rsidRPr="005328D1">
              <w:rPr>
                <w:b/>
                <w:noProof/>
                <w:webHidden/>
                <w:sz w:val="22"/>
                <w:szCs w:val="22"/>
              </w:rPr>
              <w:fldChar w:fldCharType="end"/>
            </w:r>
          </w:hyperlink>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hyperlink w:anchor="_Toc364152048" w:history="1">
            <w:r w:rsidRPr="005328D1">
              <w:rPr>
                <w:rStyle w:val="Hyperlink"/>
                <w:b/>
                <w:noProof/>
                <w:sz w:val="22"/>
                <w:szCs w:val="22"/>
              </w:rPr>
              <w:t>Kendal LAP People</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_Toc364152048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5</w:t>
            </w:r>
            <w:r w:rsidRPr="005328D1">
              <w:rPr>
                <w:b/>
                <w:noProof/>
                <w:webHidden/>
                <w:sz w:val="22"/>
                <w:szCs w:val="22"/>
              </w:rPr>
              <w:fldChar w:fldCharType="end"/>
            </w:r>
          </w:hyperlink>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hyperlink w:anchor="_Toc364152049" w:history="1">
            <w:r w:rsidRPr="005328D1">
              <w:rPr>
                <w:rStyle w:val="Hyperlink"/>
                <w:b/>
                <w:noProof/>
                <w:sz w:val="22"/>
                <w:szCs w:val="22"/>
              </w:rPr>
              <w:t>Usual Resident Population</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_Toc364152049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5</w:t>
            </w:r>
            <w:r w:rsidRPr="005328D1">
              <w:rPr>
                <w:b/>
                <w:noProof/>
                <w:webHidden/>
                <w:sz w:val="22"/>
                <w:szCs w:val="22"/>
              </w:rPr>
              <w:fldChar w:fldCharType="end"/>
            </w:r>
          </w:hyperlink>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hyperlink w:anchor="_Toc364152050" w:history="1">
            <w:r w:rsidRPr="005328D1">
              <w:rPr>
                <w:rStyle w:val="Hyperlink"/>
                <w:b/>
                <w:noProof/>
                <w:sz w:val="22"/>
                <w:szCs w:val="22"/>
              </w:rPr>
              <w:t>Health &amp; Wellbeing</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_Toc364152050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7</w:t>
            </w:r>
            <w:r w:rsidRPr="005328D1">
              <w:rPr>
                <w:b/>
                <w:noProof/>
                <w:webHidden/>
                <w:sz w:val="22"/>
                <w:szCs w:val="22"/>
              </w:rPr>
              <w:fldChar w:fldCharType="end"/>
            </w:r>
          </w:hyperlink>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hyperlink w:anchor="_Toc364152051" w:history="1">
            <w:r w:rsidRPr="005328D1">
              <w:rPr>
                <w:rStyle w:val="Hyperlink"/>
                <w:b/>
                <w:noProof/>
                <w:sz w:val="22"/>
                <w:szCs w:val="22"/>
              </w:rPr>
              <w:t>Ethnicity, Nationality &amp; Religion</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_Toc364152051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7</w:t>
            </w:r>
            <w:r w:rsidRPr="005328D1">
              <w:rPr>
                <w:b/>
                <w:noProof/>
                <w:webHidden/>
                <w:sz w:val="22"/>
                <w:szCs w:val="22"/>
              </w:rPr>
              <w:fldChar w:fldCharType="end"/>
            </w:r>
          </w:hyperlink>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hyperlink w:anchor="_Toc364152052" w:history="1">
            <w:r w:rsidRPr="005328D1">
              <w:rPr>
                <w:rStyle w:val="Hyperlink"/>
                <w:b/>
                <w:noProof/>
                <w:sz w:val="22"/>
                <w:szCs w:val="22"/>
              </w:rPr>
              <w:t>Housing</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_Toc364152052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8</w:t>
            </w:r>
            <w:r w:rsidRPr="005328D1">
              <w:rPr>
                <w:b/>
                <w:noProof/>
                <w:webHidden/>
                <w:sz w:val="22"/>
                <w:szCs w:val="22"/>
              </w:rPr>
              <w:fldChar w:fldCharType="end"/>
            </w:r>
          </w:hyperlink>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hyperlink w:anchor="_Toc364152053" w:history="1">
            <w:r w:rsidRPr="005328D1">
              <w:rPr>
                <w:rStyle w:val="Hyperlink"/>
                <w:b/>
                <w:noProof/>
                <w:sz w:val="22"/>
                <w:szCs w:val="22"/>
              </w:rPr>
              <w:t>Qualifications</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_Toc364152053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9</w:t>
            </w:r>
            <w:r w:rsidRPr="005328D1">
              <w:rPr>
                <w:b/>
                <w:noProof/>
                <w:webHidden/>
                <w:sz w:val="22"/>
                <w:szCs w:val="22"/>
              </w:rPr>
              <w:fldChar w:fldCharType="end"/>
            </w:r>
          </w:hyperlink>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hyperlink w:anchor="_Toc364152054" w:history="1">
            <w:r w:rsidRPr="005328D1">
              <w:rPr>
                <w:rStyle w:val="Hyperlink"/>
                <w:b/>
                <w:noProof/>
                <w:sz w:val="22"/>
                <w:szCs w:val="22"/>
              </w:rPr>
              <w:t>Employment &amp; Business Environment</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_Toc364152054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10</w:t>
            </w:r>
            <w:r w:rsidRPr="005328D1">
              <w:rPr>
                <w:b/>
                <w:noProof/>
                <w:webHidden/>
                <w:sz w:val="22"/>
                <w:szCs w:val="22"/>
              </w:rPr>
              <w:fldChar w:fldCharType="end"/>
            </w:r>
          </w:hyperlink>
        </w:p>
        <w:p w:rsidR="005328D1" w:rsidRPr="005328D1" w:rsidRDefault="005328D1" w:rsidP="005328D1">
          <w:pPr>
            <w:pStyle w:val="TOC1"/>
            <w:tabs>
              <w:tab w:val="right" w:leader="dot" w:pos="9016"/>
            </w:tabs>
            <w:spacing w:line="360" w:lineRule="auto"/>
            <w:rPr>
              <w:rFonts w:eastAsiaTheme="minorEastAsia"/>
              <w:b/>
              <w:noProof/>
              <w:sz w:val="22"/>
              <w:szCs w:val="22"/>
              <w:lang w:val="en-GB" w:eastAsia="en-GB"/>
            </w:rPr>
          </w:pPr>
          <w:hyperlink w:anchor="_Toc364152055" w:history="1">
            <w:r w:rsidRPr="005328D1">
              <w:rPr>
                <w:rStyle w:val="Hyperlink"/>
                <w:b/>
                <w:noProof/>
                <w:sz w:val="22"/>
                <w:szCs w:val="22"/>
              </w:rPr>
              <w:t>Concluding Overview of Kendal LAP</w:t>
            </w:r>
            <w:r w:rsidRPr="005328D1">
              <w:rPr>
                <w:b/>
                <w:noProof/>
                <w:webHidden/>
                <w:sz w:val="22"/>
                <w:szCs w:val="22"/>
              </w:rPr>
              <w:tab/>
            </w:r>
            <w:r w:rsidRPr="005328D1">
              <w:rPr>
                <w:b/>
                <w:noProof/>
                <w:webHidden/>
                <w:sz w:val="22"/>
                <w:szCs w:val="22"/>
              </w:rPr>
              <w:fldChar w:fldCharType="begin"/>
            </w:r>
            <w:r w:rsidRPr="005328D1">
              <w:rPr>
                <w:b/>
                <w:noProof/>
                <w:webHidden/>
                <w:sz w:val="22"/>
                <w:szCs w:val="22"/>
              </w:rPr>
              <w:instrText xml:space="preserve"> PAGEREF _Toc364152055 \h </w:instrText>
            </w:r>
            <w:r w:rsidRPr="005328D1">
              <w:rPr>
                <w:b/>
                <w:noProof/>
                <w:webHidden/>
                <w:sz w:val="22"/>
                <w:szCs w:val="22"/>
              </w:rPr>
            </w:r>
            <w:r w:rsidRPr="005328D1">
              <w:rPr>
                <w:b/>
                <w:noProof/>
                <w:webHidden/>
                <w:sz w:val="22"/>
                <w:szCs w:val="22"/>
              </w:rPr>
              <w:fldChar w:fldCharType="separate"/>
            </w:r>
            <w:r w:rsidRPr="005328D1">
              <w:rPr>
                <w:b/>
                <w:noProof/>
                <w:webHidden/>
                <w:sz w:val="22"/>
                <w:szCs w:val="22"/>
              </w:rPr>
              <w:t>13</w:t>
            </w:r>
            <w:r w:rsidRPr="005328D1">
              <w:rPr>
                <w:b/>
                <w:noProof/>
                <w:webHidden/>
                <w:sz w:val="22"/>
                <w:szCs w:val="22"/>
              </w:rPr>
              <w:fldChar w:fldCharType="end"/>
            </w:r>
          </w:hyperlink>
        </w:p>
        <w:p w:rsidR="005328D1" w:rsidRDefault="005328D1">
          <w:r w:rsidRPr="005328D1">
            <w:rPr>
              <w:b/>
              <w:bCs/>
              <w:noProof/>
              <w:sz w:val="22"/>
              <w:szCs w:val="22"/>
            </w:rPr>
            <w:fldChar w:fldCharType="end"/>
          </w:r>
        </w:p>
      </w:sdtContent>
    </w:sdt>
    <w:p w:rsidR="00CD3D68" w:rsidRDefault="00CD3D68" w:rsidP="00A4653C">
      <w:pPr>
        <w:pStyle w:val="NoSpacing"/>
        <w:rPr>
          <w:rFonts w:ascii="Arial" w:hAnsi="Arial" w:cs="Arial"/>
        </w:rPr>
      </w:pPr>
    </w:p>
    <w:p w:rsidR="00CD3D68" w:rsidRDefault="00CD3D68" w:rsidP="00A4653C">
      <w:pPr>
        <w:pStyle w:val="NoSpacing"/>
        <w:rPr>
          <w:rFonts w:ascii="Arial" w:hAnsi="Arial" w:cs="Arial"/>
        </w:rPr>
      </w:pPr>
    </w:p>
    <w:p w:rsidR="00656D5C" w:rsidRDefault="00656D5C" w:rsidP="00A4653C">
      <w:pPr>
        <w:pStyle w:val="NoSpacing"/>
        <w:rPr>
          <w:rFonts w:ascii="Arial" w:hAnsi="Arial" w:cs="Arial"/>
          <w:b/>
          <w:color w:val="4F81BD" w:themeColor="accent1"/>
          <w:sz w:val="28"/>
        </w:rPr>
      </w:pPr>
    </w:p>
    <w:p w:rsidR="00656D5C" w:rsidRDefault="00656D5C" w:rsidP="00A4653C">
      <w:pPr>
        <w:pStyle w:val="NoSpacing"/>
        <w:rPr>
          <w:rFonts w:ascii="Arial" w:hAnsi="Arial" w:cs="Arial"/>
          <w:b/>
          <w:color w:val="4F81BD" w:themeColor="accent1"/>
          <w:sz w:val="28"/>
        </w:rPr>
      </w:pPr>
    </w:p>
    <w:p w:rsidR="00656D5C" w:rsidRDefault="00656D5C" w:rsidP="00A4653C">
      <w:pPr>
        <w:pStyle w:val="NoSpacing"/>
        <w:rPr>
          <w:rFonts w:ascii="Arial" w:hAnsi="Arial" w:cs="Arial"/>
          <w:b/>
          <w:color w:val="4F81BD" w:themeColor="accent1"/>
          <w:sz w:val="28"/>
        </w:rPr>
      </w:pPr>
    </w:p>
    <w:p w:rsidR="00656D5C" w:rsidRDefault="00656D5C" w:rsidP="00A4653C">
      <w:pPr>
        <w:pStyle w:val="NoSpacing"/>
        <w:rPr>
          <w:rFonts w:ascii="Arial" w:hAnsi="Arial" w:cs="Arial"/>
          <w:b/>
          <w:color w:val="4F81BD" w:themeColor="accent1"/>
          <w:sz w:val="28"/>
        </w:rPr>
      </w:pPr>
    </w:p>
    <w:p w:rsidR="00656D5C" w:rsidRDefault="00656D5C" w:rsidP="00A4653C">
      <w:pPr>
        <w:pStyle w:val="NoSpacing"/>
        <w:rPr>
          <w:rFonts w:ascii="Arial" w:hAnsi="Arial" w:cs="Arial"/>
          <w:b/>
          <w:color w:val="4F81BD" w:themeColor="accent1"/>
          <w:sz w:val="28"/>
        </w:rPr>
      </w:pPr>
    </w:p>
    <w:p w:rsidR="00656D5C" w:rsidRDefault="00656D5C" w:rsidP="00A4653C">
      <w:pPr>
        <w:pStyle w:val="NoSpacing"/>
        <w:rPr>
          <w:rFonts w:ascii="Arial" w:hAnsi="Arial" w:cs="Arial"/>
          <w:b/>
          <w:color w:val="4F81BD" w:themeColor="accent1"/>
          <w:sz w:val="28"/>
        </w:rPr>
      </w:pPr>
    </w:p>
    <w:p w:rsidR="00656D5C" w:rsidRDefault="00656D5C" w:rsidP="00A4653C">
      <w:pPr>
        <w:pStyle w:val="NoSpacing"/>
        <w:rPr>
          <w:rFonts w:ascii="Arial" w:hAnsi="Arial" w:cs="Arial"/>
          <w:b/>
          <w:color w:val="4F81BD" w:themeColor="accent1"/>
          <w:sz w:val="28"/>
        </w:rPr>
      </w:pPr>
    </w:p>
    <w:p w:rsidR="00656D5C" w:rsidRDefault="00656D5C" w:rsidP="00A4653C">
      <w:pPr>
        <w:pStyle w:val="NoSpacing"/>
        <w:rPr>
          <w:rFonts w:ascii="Arial" w:hAnsi="Arial" w:cs="Arial"/>
          <w:b/>
          <w:color w:val="4F81BD" w:themeColor="accent1"/>
          <w:sz w:val="28"/>
        </w:rPr>
      </w:pPr>
    </w:p>
    <w:p w:rsidR="00656D5C" w:rsidRDefault="00656D5C" w:rsidP="00A4653C">
      <w:pPr>
        <w:pStyle w:val="NoSpacing"/>
        <w:rPr>
          <w:rFonts w:ascii="Arial" w:hAnsi="Arial" w:cs="Arial"/>
          <w:b/>
          <w:color w:val="4F81BD" w:themeColor="accent1"/>
          <w:sz w:val="28"/>
        </w:rPr>
      </w:pPr>
    </w:p>
    <w:p w:rsidR="00CD3D68" w:rsidRDefault="00CD3D68" w:rsidP="00A4653C">
      <w:pPr>
        <w:pStyle w:val="NoSpacing"/>
        <w:rPr>
          <w:rFonts w:ascii="Arial" w:hAnsi="Arial" w:cs="Arial"/>
          <w:b/>
          <w:color w:val="4F81BD" w:themeColor="accent1"/>
          <w:sz w:val="28"/>
        </w:rPr>
      </w:pPr>
      <w:r>
        <w:rPr>
          <w:rFonts w:ascii="Arial" w:hAnsi="Arial" w:cs="Arial"/>
          <w:b/>
          <w:color w:val="4F81BD" w:themeColor="accent1"/>
          <w:sz w:val="28"/>
        </w:rPr>
        <w:t>Contacts:</w:t>
      </w:r>
    </w:p>
    <w:p w:rsidR="00CD3D68" w:rsidRDefault="00CD3D68" w:rsidP="00A4653C">
      <w:pPr>
        <w:pStyle w:val="NoSpacing"/>
        <w:rPr>
          <w:rFonts w:ascii="Arial" w:hAnsi="Arial" w:cs="Arial"/>
        </w:rPr>
      </w:pPr>
      <w:r>
        <w:rPr>
          <w:rFonts w:ascii="Arial" w:hAnsi="Arial" w:cs="Arial"/>
        </w:rPr>
        <w:t xml:space="preserve">Produced by: Policy and </w:t>
      </w:r>
      <w:r w:rsidR="000054EE">
        <w:rPr>
          <w:rFonts w:ascii="Arial" w:hAnsi="Arial" w:cs="Arial"/>
        </w:rPr>
        <w:t>Partnerships</w:t>
      </w:r>
      <w:r>
        <w:rPr>
          <w:rFonts w:ascii="Arial" w:hAnsi="Arial" w:cs="Arial"/>
        </w:rPr>
        <w:t>, South Lakeland District Council, South Lakeland House, Lowther Street, Kendal, Cumbria, LA9 4DQ</w:t>
      </w:r>
    </w:p>
    <w:p w:rsidR="00CD3D68" w:rsidRDefault="00656D5C" w:rsidP="00A4653C">
      <w:pPr>
        <w:pStyle w:val="NoSpacing"/>
        <w:rPr>
          <w:rFonts w:ascii="Arial" w:hAnsi="Arial" w:cs="Arial"/>
        </w:rPr>
      </w:pPr>
      <w:hyperlink r:id="rId11" w:history="1">
        <w:r w:rsidR="00CD3D68" w:rsidRPr="000D51FD">
          <w:rPr>
            <w:rStyle w:val="Hyperlink"/>
            <w:rFonts w:ascii="Arial" w:hAnsi="Arial" w:cs="Arial"/>
          </w:rPr>
          <w:t>policy@southlakeland.gov.uk</w:t>
        </w:r>
      </w:hyperlink>
    </w:p>
    <w:p w:rsidR="00CD3D68" w:rsidRDefault="00CD3D68" w:rsidP="005328D1">
      <w:pPr>
        <w:pStyle w:val="NoSpacing"/>
        <w:outlineLvl w:val="0"/>
        <w:rPr>
          <w:rFonts w:ascii="Arial" w:hAnsi="Arial" w:cs="Arial"/>
          <w:b/>
          <w:color w:val="4F81BD" w:themeColor="accent1"/>
          <w:sz w:val="28"/>
        </w:rPr>
      </w:pPr>
      <w:bookmarkStart w:id="0" w:name="_Toc364152046"/>
      <w:bookmarkStart w:id="1" w:name="_GoBack"/>
      <w:bookmarkEnd w:id="1"/>
      <w:r>
        <w:rPr>
          <w:rFonts w:ascii="Arial" w:hAnsi="Arial" w:cs="Arial"/>
          <w:b/>
          <w:color w:val="4F81BD" w:themeColor="accent1"/>
          <w:sz w:val="28"/>
        </w:rPr>
        <w:t>Kendal Local Area Partnership in Perspective</w:t>
      </w:r>
      <w:bookmarkEnd w:id="0"/>
    </w:p>
    <w:p w:rsidR="00CD3D68" w:rsidRDefault="00CD3D68" w:rsidP="00A4653C">
      <w:pPr>
        <w:pStyle w:val="NoSpacing"/>
        <w:rPr>
          <w:rFonts w:ascii="Arial" w:hAnsi="Arial" w:cs="Arial"/>
        </w:rPr>
      </w:pPr>
    </w:p>
    <w:p w:rsidR="00CD3D68" w:rsidRDefault="00CD3D68" w:rsidP="00A4653C">
      <w:pPr>
        <w:pStyle w:val="NoSpacing"/>
        <w:rPr>
          <w:rFonts w:ascii="Arial" w:hAnsi="Arial" w:cs="Arial"/>
        </w:rPr>
      </w:pPr>
      <w:r>
        <w:rPr>
          <w:rFonts w:ascii="Arial" w:hAnsi="Arial" w:cs="Arial"/>
        </w:rPr>
        <w:t xml:space="preserve">Kendal Local Area Partnership (LAP) has the highest population of all the eight South </w:t>
      </w:r>
      <w:r w:rsidR="0031796D">
        <w:rPr>
          <w:rFonts w:ascii="Arial" w:hAnsi="Arial" w:cs="Arial"/>
        </w:rPr>
        <w:t xml:space="preserve">Lakeland LAPs. The LAP incorporates 1 Town Council and 2 Parishes, 15 District Council wards and 5 County Council wards. </w:t>
      </w:r>
    </w:p>
    <w:p w:rsidR="0031796D" w:rsidRDefault="0031796D" w:rsidP="00A4653C">
      <w:pPr>
        <w:pStyle w:val="NoSpacing"/>
        <w:rPr>
          <w:rFonts w:ascii="Arial" w:hAnsi="Arial" w:cs="Arial"/>
        </w:rPr>
      </w:pPr>
    </w:p>
    <w:p w:rsidR="0031796D" w:rsidRDefault="0031796D" w:rsidP="00A4653C">
      <w:pPr>
        <w:pStyle w:val="NoSpacing"/>
        <w:rPr>
          <w:rFonts w:ascii="Arial" w:hAnsi="Arial" w:cs="Arial"/>
        </w:rPr>
      </w:pPr>
      <w:r>
        <w:rPr>
          <w:rFonts w:ascii="Arial" w:hAnsi="Arial" w:cs="Arial"/>
        </w:rPr>
        <w:t>The following parishes make up the LAP;</w:t>
      </w:r>
    </w:p>
    <w:p w:rsidR="0031796D" w:rsidRDefault="0031796D" w:rsidP="00A4653C">
      <w:pPr>
        <w:pStyle w:val="NoSpacing"/>
        <w:rPr>
          <w:rFonts w:ascii="Arial" w:hAnsi="Arial" w:cs="Arial"/>
        </w:rPr>
      </w:pPr>
    </w:p>
    <w:p w:rsidR="0031796D" w:rsidRDefault="0031796D" w:rsidP="0031796D">
      <w:pPr>
        <w:pStyle w:val="NoSpacing"/>
        <w:spacing w:line="360" w:lineRule="auto"/>
        <w:rPr>
          <w:rFonts w:ascii="Arial" w:hAnsi="Arial" w:cs="Arial"/>
        </w:rPr>
      </w:pPr>
      <w:r>
        <w:rPr>
          <w:rFonts w:ascii="Arial" w:hAnsi="Arial" w:cs="Arial"/>
        </w:rPr>
        <w:t>Kendal Town</w:t>
      </w:r>
    </w:p>
    <w:p w:rsidR="0031796D" w:rsidRDefault="00E3011E" w:rsidP="0031796D">
      <w:pPr>
        <w:pStyle w:val="NoSpacing"/>
        <w:spacing w:line="360" w:lineRule="auto"/>
        <w:rPr>
          <w:rFonts w:ascii="Arial" w:hAnsi="Arial" w:cs="Arial"/>
        </w:rPr>
      </w:pPr>
      <w:r>
        <w:rPr>
          <w:rFonts w:ascii="Arial" w:hAnsi="Arial" w:cs="Arial"/>
        </w:rPr>
        <w:t>Burneside</w:t>
      </w:r>
    </w:p>
    <w:p w:rsidR="0031796D" w:rsidRDefault="0031796D" w:rsidP="006A24D2">
      <w:pPr>
        <w:pStyle w:val="NoSpacing"/>
        <w:rPr>
          <w:rFonts w:ascii="Arial" w:hAnsi="Arial" w:cs="Arial"/>
        </w:rPr>
      </w:pPr>
    </w:p>
    <w:p w:rsidR="0031796D" w:rsidRDefault="00331A77" w:rsidP="0031796D">
      <w:pPr>
        <w:pStyle w:val="NoSpacing"/>
        <w:rPr>
          <w:rFonts w:ascii="Arial" w:hAnsi="Arial" w:cs="Arial"/>
        </w:rPr>
      </w:pPr>
      <w:r>
        <w:rPr>
          <w:rFonts w:ascii="Arial" w:hAnsi="Arial" w:cs="Arial"/>
        </w:rPr>
        <w:t>The following District Council</w:t>
      </w:r>
      <w:r w:rsidR="00004F99">
        <w:rPr>
          <w:rFonts w:ascii="Arial" w:hAnsi="Arial" w:cs="Arial"/>
        </w:rPr>
        <w:t xml:space="preserve"> </w:t>
      </w:r>
      <w:r>
        <w:rPr>
          <w:rFonts w:ascii="Arial" w:hAnsi="Arial" w:cs="Arial"/>
        </w:rPr>
        <w:t>w</w:t>
      </w:r>
      <w:r w:rsidR="00004F99">
        <w:rPr>
          <w:rFonts w:ascii="Arial" w:hAnsi="Arial" w:cs="Arial"/>
        </w:rPr>
        <w:t>ards</w:t>
      </w:r>
      <w:r w:rsidR="0031796D">
        <w:rPr>
          <w:rFonts w:ascii="Arial" w:hAnsi="Arial" w:cs="Arial"/>
        </w:rPr>
        <w:t xml:space="preserve"> make up the Partnership</w:t>
      </w:r>
      <w:r w:rsidR="00004F99">
        <w:rPr>
          <w:rFonts w:ascii="Arial" w:hAnsi="Arial" w:cs="Arial"/>
        </w:rPr>
        <w:t>;</w:t>
      </w:r>
    </w:p>
    <w:p w:rsidR="00004F99" w:rsidRDefault="00004F99" w:rsidP="0031796D">
      <w:pPr>
        <w:pStyle w:val="NoSpacing"/>
        <w:rPr>
          <w:rFonts w:ascii="Arial" w:hAnsi="Arial" w:cs="Arial"/>
        </w:rPr>
      </w:pPr>
    </w:p>
    <w:p w:rsidR="00004F99" w:rsidRDefault="00004F99" w:rsidP="00004F99">
      <w:pPr>
        <w:pStyle w:val="NoSpacing"/>
        <w:spacing w:line="360" w:lineRule="auto"/>
        <w:rPr>
          <w:rFonts w:ascii="Arial" w:hAnsi="Arial" w:cs="Arial"/>
        </w:rPr>
      </w:pPr>
      <w:r>
        <w:rPr>
          <w:rFonts w:ascii="Arial" w:hAnsi="Arial" w:cs="Arial"/>
        </w:rPr>
        <w:t>Kendal Castle</w:t>
      </w:r>
    </w:p>
    <w:p w:rsidR="00004F99" w:rsidRDefault="00004F99" w:rsidP="00004F99">
      <w:pPr>
        <w:pStyle w:val="NoSpacing"/>
        <w:spacing w:line="360" w:lineRule="auto"/>
        <w:rPr>
          <w:rFonts w:ascii="Arial" w:hAnsi="Arial" w:cs="Arial"/>
        </w:rPr>
      </w:pPr>
      <w:r>
        <w:rPr>
          <w:rFonts w:ascii="Arial" w:hAnsi="Arial" w:cs="Arial"/>
        </w:rPr>
        <w:t>Kendal Far Cross</w:t>
      </w:r>
    </w:p>
    <w:p w:rsidR="00004F99" w:rsidRDefault="00004F99" w:rsidP="00004F99">
      <w:pPr>
        <w:pStyle w:val="NoSpacing"/>
        <w:spacing w:line="360" w:lineRule="auto"/>
        <w:rPr>
          <w:rFonts w:ascii="Arial" w:hAnsi="Arial" w:cs="Arial"/>
        </w:rPr>
      </w:pPr>
      <w:r>
        <w:rPr>
          <w:rFonts w:ascii="Arial" w:hAnsi="Arial" w:cs="Arial"/>
        </w:rPr>
        <w:t>Kendal Fell</w:t>
      </w:r>
    </w:p>
    <w:p w:rsidR="00004F99" w:rsidRDefault="00004F99" w:rsidP="00004F99">
      <w:pPr>
        <w:pStyle w:val="NoSpacing"/>
        <w:spacing w:line="360" w:lineRule="auto"/>
        <w:rPr>
          <w:rFonts w:ascii="Arial" w:hAnsi="Arial" w:cs="Arial"/>
        </w:rPr>
      </w:pPr>
      <w:r>
        <w:rPr>
          <w:rFonts w:ascii="Arial" w:hAnsi="Arial" w:cs="Arial"/>
        </w:rPr>
        <w:t>Kendal Heron Hill</w:t>
      </w:r>
    </w:p>
    <w:p w:rsidR="00004F99" w:rsidRDefault="00004F99" w:rsidP="00004F99">
      <w:pPr>
        <w:pStyle w:val="NoSpacing"/>
        <w:spacing w:line="360" w:lineRule="auto"/>
        <w:rPr>
          <w:rFonts w:ascii="Arial" w:hAnsi="Arial" w:cs="Arial"/>
        </w:rPr>
      </w:pPr>
      <w:r>
        <w:rPr>
          <w:rFonts w:ascii="Arial" w:hAnsi="Arial" w:cs="Arial"/>
        </w:rPr>
        <w:t>Kendal Highgate</w:t>
      </w:r>
    </w:p>
    <w:p w:rsidR="00004F99" w:rsidRDefault="00004F99" w:rsidP="00004F99">
      <w:pPr>
        <w:pStyle w:val="NoSpacing"/>
        <w:spacing w:line="360" w:lineRule="auto"/>
        <w:rPr>
          <w:rFonts w:ascii="Arial" w:hAnsi="Arial" w:cs="Arial"/>
        </w:rPr>
      </w:pPr>
      <w:r>
        <w:rPr>
          <w:rFonts w:ascii="Arial" w:hAnsi="Arial" w:cs="Arial"/>
        </w:rPr>
        <w:t>Kendal Kirkland</w:t>
      </w:r>
    </w:p>
    <w:p w:rsidR="00004F99" w:rsidRDefault="00004F99" w:rsidP="00004F99">
      <w:pPr>
        <w:pStyle w:val="NoSpacing"/>
        <w:spacing w:line="360" w:lineRule="auto"/>
        <w:rPr>
          <w:rFonts w:ascii="Arial" w:hAnsi="Arial" w:cs="Arial"/>
        </w:rPr>
      </w:pPr>
      <w:r>
        <w:rPr>
          <w:rFonts w:ascii="Arial" w:hAnsi="Arial" w:cs="Arial"/>
        </w:rPr>
        <w:t>Kendal Mintsfeet</w:t>
      </w:r>
    </w:p>
    <w:p w:rsidR="00004F99" w:rsidRDefault="00004F99" w:rsidP="00004F99">
      <w:pPr>
        <w:pStyle w:val="NoSpacing"/>
        <w:spacing w:line="360" w:lineRule="auto"/>
        <w:rPr>
          <w:rFonts w:ascii="Arial" w:hAnsi="Arial" w:cs="Arial"/>
        </w:rPr>
      </w:pPr>
      <w:r>
        <w:rPr>
          <w:rFonts w:ascii="Arial" w:hAnsi="Arial" w:cs="Arial"/>
        </w:rPr>
        <w:t>Kendal Nether</w:t>
      </w:r>
    </w:p>
    <w:p w:rsidR="00004F99" w:rsidRDefault="00004F99" w:rsidP="00004F99">
      <w:pPr>
        <w:pStyle w:val="NoSpacing"/>
        <w:spacing w:line="360" w:lineRule="auto"/>
        <w:rPr>
          <w:rFonts w:ascii="Arial" w:hAnsi="Arial" w:cs="Arial"/>
        </w:rPr>
      </w:pPr>
      <w:r>
        <w:rPr>
          <w:rFonts w:ascii="Arial" w:hAnsi="Arial" w:cs="Arial"/>
        </w:rPr>
        <w:t xml:space="preserve">Kendal Oxenholme &amp; Natland </w:t>
      </w:r>
      <w:r w:rsidRPr="00004F99">
        <w:rPr>
          <w:rFonts w:ascii="Arial" w:hAnsi="Arial" w:cs="Arial"/>
          <w:i/>
        </w:rPr>
        <w:t>(only Oxenholme part of ward in LAP area)</w:t>
      </w:r>
    </w:p>
    <w:p w:rsidR="00004F99" w:rsidRDefault="00004F99" w:rsidP="00004F99">
      <w:pPr>
        <w:pStyle w:val="NoSpacing"/>
        <w:spacing w:line="360" w:lineRule="auto"/>
        <w:rPr>
          <w:rFonts w:ascii="Arial" w:hAnsi="Arial" w:cs="Arial"/>
        </w:rPr>
      </w:pPr>
      <w:r>
        <w:rPr>
          <w:rFonts w:ascii="Arial" w:hAnsi="Arial" w:cs="Arial"/>
        </w:rPr>
        <w:t>Kendal Parks</w:t>
      </w:r>
    </w:p>
    <w:p w:rsidR="00004F99" w:rsidRDefault="00004F99" w:rsidP="00004F99">
      <w:pPr>
        <w:pStyle w:val="NoSpacing"/>
        <w:spacing w:line="360" w:lineRule="auto"/>
        <w:rPr>
          <w:rFonts w:ascii="Arial" w:hAnsi="Arial" w:cs="Arial"/>
        </w:rPr>
      </w:pPr>
      <w:r>
        <w:rPr>
          <w:rFonts w:ascii="Arial" w:hAnsi="Arial" w:cs="Arial"/>
        </w:rPr>
        <w:t>Kendal Romney</w:t>
      </w:r>
    </w:p>
    <w:p w:rsidR="00004F99" w:rsidRDefault="00004F99" w:rsidP="00004F99">
      <w:pPr>
        <w:pStyle w:val="NoSpacing"/>
        <w:spacing w:line="360" w:lineRule="auto"/>
        <w:rPr>
          <w:rFonts w:ascii="Arial" w:hAnsi="Arial" w:cs="Arial"/>
        </w:rPr>
      </w:pPr>
      <w:r>
        <w:rPr>
          <w:rFonts w:ascii="Arial" w:hAnsi="Arial" w:cs="Arial"/>
        </w:rPr>
        <w:t>Kendal Stonecross</w:t>
      </w:r>
    </w:p>
    <w:p w:rsidR="00004F99" w:rsidRDefault="00004F99" w:rsidP="00004F99">
      <w:pPr>
        <w:pStyle w:val="NoSpacing"/>
        <w:spacing w:line="360" w:lineRule="auto"/>
        <w:rPr>
          <w:rFonts w:ascii="Arial" w:hAnsi="Arial" w:cs="Arial"/>
        </w:rPr>
      </w:pPr>
      <w:r>
        <w:rPr>
          <w:rFonts w:ascii="Arial" w:hAnsi="Arial" w:cs="Arial"/>
        </w:rPr>
        <w:t xml:space="preserve">Kendal Strickland </w:t>
      </w:r>
    </w:p>
    <w:p w:rsidR="00004F99" w:rsidRDefault="00004F99" w:rsidP="00004F99">
      <w:pPr>
        <w:pStyle w:val="NoSpacing"/>
        <w:spacing w:line="360" w:lineRule="auto"/>
        <w:rPr>
          <w:rFonts w:ascii="Arial" w:hAnsi="Arial" w:cs="Arial"/>
        </w:rPr>
      </w:pPr>
      <w:r>
        <w:rPr>
          <w:rFonts w:ascii="Arial" w:hAnsi="Arial" w:cs="Arial"/>
        </w:rPr>
        <w:t>Kendal Underley</w:t>
      </w:r>
    </w:p>
    <w:p w:rsidR="00331A77" w:rsidRPr="00331A77" w:rsidRDefault="00331A77" w:rsidP="00004F99">
      <w:pPr>
        <w:pStyle w:val="NoSpacing"/>
        <w:spacing w:line="360" w:lineRule="auto"/>
        <w:rPr>
          <w:rFonts w:ascii="Arial" w:hAnsi="Arial" w:cs="Arial"/>
          <w:i/>
        </w:rPr>
      </w:pPr>
      <w:r>
        <w:rPr>
          <w:rFonts w:ascii="Arial" w:hAnsi="Arial" w:cs="Arial"/>
        </w:rPr>
        <w:t xml:space="preserve">Burneside </w:t>
      </w:r>
      <w:r>
        <w:rPr>
          <w:rFonts w:ascii="Arial" w:hAnsi="Arial" w:cs="Arial"/>
          <w:i/>
        </w:rPr>
        <w:t xml:space="preserve">(only </w:t>
      </w:r>
      <w:r w:rsidR="00E3011E">
        <w:rPr>
          <w:rFonts w:ascii="Arial" w:hAnsi="Arial" w:cs="Arial"/>
          <w:i/>
        </w:rPr>
        <w:t>Burneside parish area</w:t>
      </w:r>
      <w:r>
        <w:rPr>
          <w:rFonts w:ascii="Arial" w:hAnsi="Arial" w:cs="Arial"/>
          <w:i/>
        </w:rPr>
        <w:t>)</w:t>
      </w:r>
    </w:p>
    <w:p w:rsidR="00004F99" w:rsidRDefault="00004F99" w:rsidP="0031796D">
      <w:pPr>
        <w:pStyle w:val="NoSpacing"/>
        <w:rPr>
          <w:rFonts w:ascii="Arial" w:hAnsi="Arial" w:cs="Arial"/>
        </w:rPr>
      </w:pPr>
    </w:p>
    <w:p w:rsidR="00004F99" w:rsidRDefault="00004F99" w:rsidP="0031796D">
      <w:pPr>
        <w:pStyle w:val="NoSpacing"/>
        <w:rPr>
          <w:rFonts w:ascii="Arial" w:hAnsi="Arial" w:cs="Arial"/>
        </w:rPr>
      </w:pPr>
      <w:r>
        <w:rPr>
          <w:rFonts w:ascii="Arial" w:hAnsi="Arial" w:cs="Arial"/>
        </w:rPr>
        <w:t>Kendal LAP is fed by the A65 from North Yorkshire to the south, the A590 from Barrow and Ulverston to the west, the A591 from Windermere and the Lakes to the northwest, the A684 from Sedbergh to the east</w:t>
      </w:r>
      <w:r w:rsidR="006A24D2">
        <w:rPr>
          <w:rFonts w:ascii="Arial" w:hAnsi="Arial" w:cs="Arial"/>
        </w:rPr>
        <w:t xml:space="preserve">, and the A685 from Shap to the north. The M6 motorway is some 6 miles away to the southeast, providing easy access to the North and Scotland, and the South. Oxenholme station is on the West Coast Mainline, linking Kendal LAP with the rest England and Scotland. </w:t>
      </w:r>
    </w:p>
    <w:p w:rsidR="00E3011E" w:rsidRDefault="00E3011E" w:rsidP="0031796D">
      <w:pPr>
        <w:pStyle w:val="NoSpacing"/>
        <w:rPr>
          <w:rFonts w:ascii="Arial" w:hAnsi="Arial" w:cs="Arial"/>
        </w:rPr>
      </w:pPr>
    </w:p>
    <w:p w:rsidR="006A24D2" w:rsidRDefault="006A24D2" w:rsidP="0031796D">
      <w:pPr>
        <w:pStyle w:val="NoSpacing"/>
        <w:rPr>
          <w:rFonts w:ascii="Arial" w:hAnsi="Arial" w:cs="Arial"/>
        </w:rPr>
      </w:pPr>
      <w:r>
        <w:rPr>
          <w:rFonts w:ascii="Arial" w:hAnsi="Arial" w:cs="Arial"/>
        </w:rPr>
        <w:t>Kendal has a multitude of historical buildings, including the parish church on the riverside in Kirkland, Kendal Castle, the 14</w:t>
      </w:r>
      <w:r w:rsidRPr="006A24D2">
        <w:rPr>
          <w:rFonts w:ascii="Arial" w:hAnsi="Arial" w:cs="Arial"/>
          <w:vertAlign w:val="superscript"/>
        </w:rPr>
        <w:t>th</w:t>
      </w:r>
      <w:r>
        <w:rPr>
          <w:rFonts w:ascii="Arial" w:hAnsi="Arial" w:cs="Arial"/>
        </w:rPr>
        <w:t xml:space="preserve"> Century Castle Dairy and a host of churches and chapels. Kendal is South Lakeland’s largest town and one of the main centres for shops, employment and services. </w:t>
      </w:r>
    </w:p>
    <w:p w:rsidR="006A24D2" w:rsidRDefault="006A24D2" w:rsidP="0031796D">
      <w:pPr>
        <w:pStyle w:val="NoSpacing"/>
        <w:rPr>
          <w:rFonts w:ascii="Arial" w:hAnsi="Arial" w:cs="Arial"/>
        </w:rPr>
      </w:pPr>
    </w:p>
    <w:p w:rsidR="00331A77" w:rsidRDefault="006A24D2" w:rsidP="0031796D">
      <w:pPr>
        <w:pStyle w:val="NoSpacing"/>
        <w:rPr>
          <w:rFonts w:ascii="Arial" w:hAnsi="Arial" w:cs="Arial"/>
          <w:i/>
        </w:rPr>
      </w:pPr>
      <w:r>
        <w:rPr>
          <w:rFonts w:ascii="Arial" w:hAnsi="Arial" w:cs="Arial"/>
          <w:i/>
        </w:rPr>
        <w:t>The LAP has requested that, where necessary, the profile be broken down into wards. As the map on the following page shows, only the Oxenholme part of Oxenholme &amp; Natland ward is in the L</w:t>
      </w:r>
      <w:r w:rsidR="00331A77">
        <w:rPr>
          <w:rFonts w:ascii="Arial" w:hAnsi="Arial" w:cs="Arial"/>
          <w:i/>
        </w:rPr>
        <w:t>AP. In</w:t>
      </w:r>
      <w:r>
        <w:rPr>
          <w:rFonts w:ascii="Arial" w:hAnsi="Arial" w:cs="Arial"/>
          <w:i/>
        </w:rPr>
        <w:t xml:space="preserve"> this instance, only </w:t>
      </w:r>
      <w:r w:rsidR="00331A77">
        <w:rPr>
          <w:rFonts w:ascii="Arial" w:hAnsi="Arial" w:cs="Arial"/>
          <w:i/>
        </w:rPr>
        <w:t>data for Oxenholme will be used. This is also the case with Burneside ward (</w:t>
      </w:r>
      <w:r w:rsidR="00E3011E">
        <w:rPr>
          <w:rFonts w:ascii="Arial" w:hAnsi="Arial" w:cs="Arial"/>
          <w:i/>
        </w:rPr>
        <w:t>Burneside parish data will be used</w:t>
      </w:r>
      <w:r w:rsidR="00331A77">
        <w:rPr>
          <w:rFonts w:ascii="Arial" w:hAnsi="Arial" w:cs="Arial"/>
          <w:i/>
        </w:rPr>
        <w:t>).</w:t>
      </w:r>
    </w:p>
    <w:p w:rsidR="00E3011E" w:rsidRDefault="00E3011E" w:rsidP="0031796D">
      <w:pPr>
        <w:pStyle w:val="NoSpacing"/>
        <w:rPr>
          <w:rFonts w:ascii="Arial" w:hAnsi="Arial" w:cs="Arial"/>
          <w:b/>
          <w:color w:val="4F81BD" w:themeColor="accent1"/>
          <w:sz w:val="28"/>
        </w:rPr>
      </w:pPr>
    </w:p>
    <w:p w:rsidR="00331A77" w:rsidRPr="00D26532" w:rsidRDefault="00D26532" w:rsidP="005328D1">
      <w:pPr>
        <w:pStyle w:val="NoSpacing"/>
        <w:outlineLvl w:val="0"/>
        <w:rPr>
          <w:rFonts w:ascii="Arial" w:hAnsi="Arial" w:cs="Arial"/>
          <w:b/>
          <w:color w:val="4F81BD" w:themeColor="accent1"/>
          <w:sz w:val="28"/>
        </w:rPr>
      </w:pPr>
      <w:bookmarkStart w:id="2" w:name="_Toc364152047"/>
      <w:r>
        <w:rPr>
          <w:noProof/>
          <w:lang w:eastAsia="en-GB"/>
        </w:rPr>
        <w:lastRenderedPageBreak/>
        <w:drawing>
          <wp:anchor distT="0" distB="0" distL="114300" distR="114300" simplePos="0" relativeHeight="251662336" behindDoc="0" locked="0" layoutInCell="1" allowOverlap="1" wp14:anchorId="761E70B0" wp14:editId="08D618D6">
            <wp:simplePos x="0" y="0"/>
            <wp:positionH relativeFrom="column">
              <wp:posOffset>-200025</wp:posOffset>
            </wp:positionH>
            <wp:positionV relativeFrom="paragraph">
              <wp:posOffset>5745480</wp:posOffset>
            </wp:positionV>
            <wp:extent cx="2181225" cy="3083560"/>
            <wp:effectExtent l="76200" t="76200" r="142875" b="135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al LAP - Burneside pari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225" cy="3083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18838EC1" wp14:editId="0A0840C2">
            <wp:simplePos x="0" y="0"/>
            <wp:positionH relativeFrom="column">
              <wp:posOffset>-190500</wp:posOffset>
            </wp:positionH>
            <wp:positionV relativeFrom="paragraph">
              <wp:posOffset>295275</wp:posOffset>
            </wp:positionV>
            <wp:extent cx="6086475" cy="85629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dal LAP-Kendal wards2.jpg"/>
                    <pic:cNvPicPr/>
                  </pic:nvPicPr>
                  <pic:blipFill>
                    <a:blip r:embed="rId13">
                      <a:extLst>
                        <a:ext uri="{28A0092B-C50C-407E-A947-70E740481C1C}">
                          <a14:useLocalDpi xmlns:a14="http://schemas.microsoft.com/office/drawing/2010/main" val="0"/>
                        </a:ext>
                      </a:extLst>
                    </a:blip>
                    <a:stretch>
                      <a:fillRect/>
                    </a:stretch>
                  </pic:blipFill>
                  <pic:spPr>
                    <a:xfrm>
                      <a:off x="0" y="0"/>
                      <a:ext cx="6086475" cy="8562975"/>
                    </a:xfrm>
                    <a:prstGeom prst="rect">
                      <a:avLst/>
                    </a:prstGeom>
                  </pic:spPr>
                </pic:pic>
              </a:graphicData>
            </a:graphic>
            <wp14:sizeRelH relativeFrom="page">
              <wp14:pctWidth>0</wp14:pctWidth>
            </wp14:sizeRelH>
            <wp14:sizeRelV relativeFrom="page">
              <wp14:pctHeight>0</wp14:pctHeight>
            </wp14:sizeRelV>
          </wp:anchor>
        </w:drawing>
      </w:r>
      <w:r w:rsidR="00331A77">
        <w:rPr>
          <w:rFonts w:ascii="Arial" w:hAnsi="Arial" w:cs="Arial"/>
          <w:b/>
          <w:color w:val="4F81BD" w:themeColor="accent1"/>
          <w:sz w:val="28"/>
        </w:rPr>
        <w:t>Kendal LAP – Ward Map</w:t>
      </w:r>
      <w:bookmarkEnd w:id="2"/>
    </w:p>
    <w:p w:rsidR="00331A77" w:rsidRDefault="00331A77" w:rsidP="005328D1">
      <w:pPr>
        <w:pStyle w:val="NoSpacing"/>
        <w:outlineLvl w:val="0"/>
        <w:rPr>
          <w:rFonts w:ascii="Arial" w:hAnsi="Arial" w:cs="Arial"/>
          <w:b/>
          <w:color w:val="4F81BD" w:themeColor="accent1"/>
          <w:sz w:val="28"/>
        </w:rPr>
      </w:pPr>
      <w:bookmarkStart w:id="3" w:name="_Toc364152048"/>
      <w:r>
        <w:rPr>
          <w:rFonts w:ascii="Arial" w:hAnsi="Arial" w:cs="Arial"/>
          <w:b/>
          <w:color w:val="4F81BD" w:themeColor="accent1"/>
          <w:sz w:val="28"/>
        </w:rPr>
        <w:lastRenderedPageBreak/>
        <w:t>Kendal LAP People</w:t>
      </w:r>
      <w:bookmarkEnd w:id="3"/>
    </w:p>
    <w:p w:rsidR="00331A77" w:rsidRDefault="00331A77" w:rsidP="0031796D">
      <w:pPr>
        <w:pStyle w:val="NoSpacing"/>
        <w:rPr>
          <w:rFonts w:ascii="Arial" w:hAnsi="Arial" w:cs="Arial"/>
        </w:rPr>
      </w:pPr>
    </w:p>
    <w:p w:rsidR="00331A77" w:rsidRDefault="00331A77" w:rsidP="0031796D">
      <w:pPr>
        <w:pStyle w:val="NoSpacing"/>
        <w:rPr>
          <w:rFonts w:ascii="Arial" w:hAnsi="Arial" w:cs="Arial"/>
          <w:i/>
          <w:sz w:val="20"/>
        </w:rPr>
      </w:pPr>
      <w:r>
        <w:rPr>
          <w:rFonts w:ascii="Arial" w:hAnsi="Arial" w:cs="Arial"/>
        </w:rPr>
        <w:t>Kendal LAP is made up of a n</w:t>
      </w:r>
      <w:r w:rsidR="00E3011E">
        <w:rPr>
          <w:rFonts w:ascii="Arial" w:hAnsi="Arial" w:cs="Arial"/>
        </w:rPr>
        <w:t xml:space="preserve">umber of close knit communities. The people who live in these communities in the main own their own homes, drive their own cars and hold down responsible jobs. People who live in the partnership area are practical and enterprising in their orientation. Many live in what were once council estates but where tenants have exercised their right to buy. They provide a reliable source of labour to local employers and are streetwise consumers. </w:t>
      </w:r>
      <w:r w:rsidR="00E3011E">
        <w:rPr>
          <w:rFonts w:ascii="Arial" w:hAnsi="Arial" w:cs="Arial"/>
          <w:i/>
          <w:sz w:val="20"/>
        </w:rPr>
        <w:t>(Source: Mosaic Demographic Profiling)</w:t>
      </w:r>
    </w:p>
    <w:p w:rsidR="00DB52C4" w:rsidRDefault="00DB52C4" w:rsidP="0031796D">
      <w:pPr>
        <w:pStyle w:val="NoSpacing"/>
        <w:rPr>
          <w:rFonts w:ascii="Arial" w:hAnsi="Arial" w:cs="Arial"/>
          <w:i/>
          <w:sz w:val="20"/>
        </w:rPr>
      </w:pPr>
    </w:p>
    <w:p w:rsidR="00B30D3C" w:rsidRPr="00B30D3C" w:rsidRDefault="00B30D3C" w:rsidP="0031796D">
      <w:pPr>
        <w:pStyle w:val="NoSpacing"/>
        <w:rPr>
          <w:rFonts w:ascii="Arial" w:hAnsi="Arial" w:cs="Arial"/>
          <w:b/>
          <w:color w:val="4F81BD" w:themeColor="accent1"/>
        </w:rPr>
      </w:pPr>
    </w:p>
    <w:p w:rsidR="00DB52C4" w:rsidRDefault="00DB52C4" w:rsidP="005328D1">
      <w:pPr>
        <w:pStyle w:val="NoSpacing"/>
        <w:outlineLvl w:val="0"/>
        <w:rPr>
          <w:rFonts w:ascii="Arial" w:hAnsi="Arial" w:cs="Arial"/>
          <w:b/>
          <w:color w:val="4F81BD" w:themeColor="accent1"/>
          <w:sz w:val="28"/>
        </w:rPr>
      </w:pPr>
      <w:bookmarkStart w:id="4" w:name="_Toc364152049"/>
      <w:r>
        <w:rPr>
          <w:rFonts w:ascii="Arial" w:hAnsi="Arial" w:cs="Arial"/>
          <w:b/>
          <w:color w:val="4F81BD" w:themeColor="accent1"/>
          <w:sz w:val="28"/>
        </w:rPr>
        <w:t>Usual Resident Population</w:t>
      </w:r>
      <w:bookmarkEnd w:id="4"/>
    </w:p>
    <w:p w:rsidR="00DB52C4" w:rsidRDefault="00DB52C4" w:rsidP="0031796D">
      <w:pPr>
        <w:pStyle w:val="NoSpacing"/>
        <w:rPr>
          <w:rFonts w:ascii="Arial" w:hAnsi="Arial" w:cs="Arial"/>
        </w:rPr>
      </w:pPr>
    </w:p>
    <w:p w:rsidR="00DB52C4" w:rsidRDefault="00DB52C4" w:rsidP="0031796D">
      <w:pPr>
        <w:pStyle w:val="NoSpacing"/>
        <w:rPr>
          <w:rFonts w:ascii="Arial" w:hAnsi="Arial" w:cs="Arial"/>
        </w:rPr>
      </w:pPr>
      <w:r>
        <w:rPr>
          <w:rFonts w:ascii="Arial" w:hAnsi="Arial" w:cs="Arial"/>
        </w:rPr>
        <w:t xml:space="preserve">In 2011, the population of Kendal LAP was 30,171, the largest of all South Lakeland LAPs and 29.1% of the overall population. The population has increased in the LAP area by 3.6% since 2001, where the count stood at 29,133 residents. </w:t>
      </w:r>
      <w:r w:rsidR="00F03965">
        <w:rPr>
          <w:rFonts w:ascii="Arial" w:hAnsi="Arial" w:cs="Arial"/>
        </w:rPr>
        <w:t xml:space="preserve">Kendal Fell ward has seen the biggest proportionate increase in population of 41.7% from 1,664 to 2,358. Kendal Heron Hill ward and Kendal Strickland ward have both seen the biggest decrease of 5.1%. </w:t>
      </w:r>
    </w:p>
    <w:p w:rsidR="00F03965" w:rsidRDefault="00F03965" w:rsidP="0031796D">
      <w:pPr>
        <w:pStyle w:val="NoSpacing"/>
        <w:rPr>
          <w:rFonts w:ascii="Arial" w:hAnsi="Arial" w:cs="Arial"/>
        </w:rPr>
      </w:pPr>
    </w:p>
    <w:p w:rsidR="00F03965" w:rsidRDefault="00F03965" w:rsidP="0031796D">
      <w:pPr>
        <w:pStyle w:val="NoSpacing"/>
        <w:rPr>
          <w:rFonts w:ascii="Arial" w:hAnsi="Arial" w:cs="Arial"/>
        </w:rPr>
      </w:pPr>
      <w:r>
        <w:rPr>
          <w:rFonts w:ascii="Arial" w:hAnsi="Arial" w:cs="Arial"/>
        </w:rPr>
        <w:t>Male residents make up 48.6% of the population, 51.4% being female. The Kendal LAP covers an area of 3,577 hectares (13.8 square miles), equating to a population density of 8.4 people per hectare (2,186.3 per square mile).</w:t>
      </w:r>
    </w:p>
    <w:p w:rsidR="00F03965" w:rsidRDefault="00F03965" w:rsidP="0031796D">
      <w:pPr>
        <w:pStyle w:val="NoSpacing"/>
        <w:rPr>
          <w:rFonts w:ascii="Arial" w:hAnsi="Arial" w:cs="Arial"/>
        </w:rPr>
      </w:pPr>
    </w:p>
    <w:p w:rsidR="00F03965" w:rsidRDefault="00961C51" w:rsidP="0031796D">
      <w:pPr>
        <w:pStyle w:val="NoSpacing"/>
        <w:rPr>
          <w:rFonts w:ascii="Arial" w:hAnsi="Arial" w:cs="Arial"/>
        </w:rPr>
      </w:pPr>
      <w:r>
        <w:rPr>
          <w:rFonts w:ascii="Arial" w:hAnsi="Arial" w:cs="Arial"/>
        </w:rPr>
        <w:t>When looking at the broad age bands, the proportion of 0-15 year olds has reduced over the ten year period between 2001 and 2011 (a fall of 6.7%). Kendal Strickland ward saw the biggest proportionate increase in this age group of 27.3%, with Kendal Mintsfeet</w:t>
      </w:r>
      <w:r w:rsidR="0006491A">
        <w:rPr>
          <w:rFonts w:ascii="Arial" w:hAnsi="Arial" w:cs="Arial"/>
        </w:rPr>
        <w:t xml:space="preserve"> ward</w:t>
      </w:r>
      <w:r>
        <w:rPr>
          <w:rFonts w:ascii="Arial" w:hAnsi="Arial" w:cs="Arial"/>
        </w:rPr>
        <w:t xml:space="preserve"> seeing the </w:t>
      </w:r>
      <w:r w:rsidR="0006491A">
        <w:rPr>
          <w:rFonts w:ascii="Arial" w:hAnsi="Arial" w:cs="Arial"/>
        </w:rPr>
        <w:t>biggest</w:t>
      </w:r>
      <w:r>
        <w:rPr>
          <w:rFonts w:ascii="Arial" w:hAnsi="Arial" w:cs="Arial"/>
        </w:rPr>
        <w:t xml:space="preserve"> decrease of 26.7%. There has been an increase of 3.5% in the proportion of 16-64 year olds (working age) since 2001 (a 15.7% increase since 2008). Kendal Fell</w:t>
      </w:r>
      <w:r w:rsidR="0006491A">
        <w:rPr>
          <w:rFonts w:ascii="Arial" w:hAnsi="Arial" w:cs="Arial"/>
        </w:rPr>
        <w:t xml:space="preserve"> ward</w:t>
      </w:r>
      <w:r>
        <w:rPr>
          <w:rFonts w:ascii="Arial" w:hAnsi="Arial" w:cs="Arial"/>
        </w:rPr>
        <w:t xml:space="preserve"> has seen the biggest proportionate increase since 2001 of 45.4%, with Kendal Heron Hill</w:t>
      </w:r>
      <w:r w:rsidR="0006491A">
        <w:rPr>
          <w:rFonts w:ascii="Arial" w:hAnsi="Arial" w:cs="Arial"/>
        </w:rPr>
        <w:t xml:space="preserve"> ward</w:t>
      </w:r>
      <w:r>
        <w:rPr>
          <w:rFonts w:ascii="Arial" w:hAnsi="Arial" w:cs="Arial"/>
        </w:rPr>
        <w:t xml:space="preserve"> seeing the biggest decrease of 13.1%. </w:t>
      </w:r>
      <w:r w:rsidR="0006491A">
        <w:rPr>
          <w:rFonts w:ascii="Arial" w:hAnsi="Arial" w:cs="Arial"/>
        </w:rPr>
        <w:t xml:space="preserve">The over 65 age range has increased by 14.8% since 2001; however, there has been a proportionate decrease since 2008. Kendal Fell ward has seen the biggest proportionate increase since 2001 of 58.9%, while Kendal Kirkland ward has seen the biggest decrease of 17.5%. </w:t>
      </w:r>
    </w:p>
    <w:p w:rsidR="0006491A" w:rsidRDefault="0006491A" w:rsidP="0031796D">
      <w:pPr>
        <w:pStyle w:val="NoSpacing"/>
        <w:rPr>
          <w:rFonts w:ascii="Arial" w:hAnsi="Arial" w:cs="Arial"/>
        </w:rPr>
      </w:pPr>
    </w:p>
    <w:p w:rsidR="0006491A" w:rsidRPr="00DB52C4" w:rsidRDefault="0006491A" w:rsidP="0031796D">
      <w:pPr>
        <w:pStyle w:val="NoSpacing"/>
        <w:rPr>
          <w:rFonts w:ascii="Arial" w:hAnsi="Arial" w:cs="Arial"/>
        </w:rPr>
      </w:pPr>
      <w:r>
        <w:rPr>
          <w:noProof/>
          <w:lang w:eastAsia="en-GB"/>
        </w:rPr>
        <w:drawing>
          <wp:inline distT="0" distB="0" distL="0" distR="0" wp14:anchorId="2B5DE56A" wp14:editId="4C36CCD4">
            <wp:extent cx="5734050" cy="31337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1A77" w:rsidRDefault="00331A77" w:rsidP="0031796D">
      <w:pPr>
        <w:pStyle w:val="NoSpacing"/>
        <w:rPr>
          <w:rFonts w:ascii="Arial" w:hAnsi="Arial" w:cs="Arial"/>
        </w:rPr>
      </w:pPr>
    </w:p>
    <w:p w:rsidR="0006491A" w:rsidRDefault="0006491A" w:rsidP="0031796D">
      <w:pPr>
        <w:pStyle w:val="NoSpacing"/>
        <w:rPr>
          <w:rFonts w:ascii="Arial" w:hAnsi="Arial" w:cs="Arial"/>
        </w:rPr>
      </w:pPr>
    </w:p>
    <w:p w:rsidR="0006491A" w:rsidRDefault="0006491A" w:rsidP="0031796D">
      <w:pPr>
        <w:pStyle w:val="NoSpacing"/>
        <w:rPr>
          <w:rFonts w:ascii="Arial" w:hAnsi="Arial" w:cs="Arial"/>
        </w:rPr>
      </w:pPr>
      <w:r>
        <w:rPr>
          <w:rFonts w:ascii="Arial" w:hAnsi="Arial" w:cs="Arial"/>
        </w:rPr>
        <w:lastRenderedPageBreak/>
        <w:t xml:space="preserve">When comparing the broad age range proportions (2011) against those at district level, it can be seen that the 0-15 and 16-64 </w:t>
      </w:r>
      <w:r w:rsidR="00504ED3">
        <w:rPr>
          <w:rFonts w:ascii="Arial" w:hAnsi="Arial" w:cs="Arial"/>
        </w:rPr>
        <w:t xml:space="preserve">year old age ranges both higher, </w:t>
      </w:r>
      <w:r>
        <w:rPr>
          <w:rFonts w:ascii="Arial" w:hAnsi="Arial" w:cs="Arial"/>
        </w:rPr>
        <w:t>while th</w:t>
      </w:r>
      <w:r w:rsidR="00504ED3">
        <w:rPr>
          <w:rFonts w:ascii="Arial" w:hAnsi="Arial" w:cs="Arial"/>
        </w:rPr>
        <w:t>e over 65 age range is lower when compared to South Lakeland as a whole.</w:t>
      </w:r>
    </w:p>
    <w:p w:rsidR="00504ED3" w:rsidRDefault="00504ED3" w:rsidP="0031796D">
      <w:pPr>
        <w:pStyle w:val="NoSpacing"/>
        <w:rPr>
          <w:rFonts w:ascii="Arial" w:hAnsi="Arial" w:cs="Arial"/>
        </w:rPr>
      </w:pPr>
    </w:p>
    <w:p w:rsidR="00504ED3" w:rsidRDefault="00504ED3" w:rsidP="0031796D">
      <w:pPr>
        <w:pStyle w:val="NoSpacing"/>
        <w:rPr>
          <w:rFonts w:ascii="Arial" w:hAnsi="Arial" w:cs="Arial"/>
        </w:rPr>
      </w:pPr>
      <w:r>
        <w:rPr>
          <w:noProof/>
          <w:lang w:eastAsia="en-GB"/>
        </w:rPr>
        <w:drawing>
          <wp:inline distT="0" distB="0" distL="0" distR="0" wp14:anchorId="23EF7524" wp14:editId="346DA2C5">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4ED3" w:rsidRDefault="00504ED3" w:rsidP="0031796D">
      <w:pPr>
        <w:pStyle w:val="NoSpacing"/>
        <w:rPr>
          <w:rFonts w:ascii="Arial" w:hAnsi="Arial" w:cs="Arial"/>
        </w:rPr>
      </w:pPr>
    </w:p>
    <w:p w:rsidR="00504ED3" w:rsidRDefault="00504ED3" w:rsidP="0031796D">
      <w:pPr>
        <w:pStyle w:val="NoSpacing"/>
        <w:rPr>
          <w:rFonts w:ascii="Arial" w:hAnsi="Arial" w:cs="Arial"/>
        </w:rPr>
      </w:pPr>
      <w:r>
        <w:rPr>
          <w:rFonts w:ascii="Arial" w:hAnsi="Arial" w:cs="Arial"/>
        </w:rPr>
        <w:t xml:space="preserve">The Census 2011 data shows us that all the age ranges under the age of 16 have seen a decrease between 2001 and 2011 in the Kendal LAP (a combined reduction of 6.7%). The 60-64 and over 90 age ranges have seen the biggest increases over the ten year period (45.1% and 47.4% respectively). It is also worth noting that all the age ranges over 45 have increased in the LAP since 2001. </w:t>
      </w:r>
    </w:p>
    <w:p w:rsidR="00504ED3" w:rsidRDefault="00504ED3" w:rsidP="0031796D">
      <w:pPr>
        <w:pStyle w:val="NoSpacing"/>
        <w:rPr>
          <w:rFonts w:ascii="Arial" w:hAnsi="Arial" w:cs="Arial"/>
        </w:rPr>
      </w:pPr>
    </w:p>
    <w:p w:rsidR="00504ED3" w:rsidRDefault="00504ED3" w:rsidP="0031796D">
      <w:pPr>
        <w:pStyle w:val="NoSpacing"/>
        <w:rPr>
          <w:rFonts w:ascii="Arial" w:hAnsi="Arial" w:cs="Arial"/>
        </w:rPr>
      </w:pPr>
      <w:r>
        <w:rPr>
          <w:noProof/>
          <w:lang w:eastAsia="en-GB"/>
        </w:rPr>
        <w:drawing>
          <wp:inline distT="0" distB="0" distL="0" distR="0" wp14:anchorId="5A7384BC" wp14:editId="1CB80A53">
            <wp:extent cx="4572000" cy="41243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4ED3" w:rsidRDefault="00504ED3" w:rsidP="0031796D">
      <w:pPr>
        <w:pStyle w:val="NoSpacing"/>
        <w:rPr>
          <w:rFonts w:ascii="Arial" w:hAnsi="Arial" w:cs="Arial"/>
        </w:rPr>
      </w:pPr>
    </w:p>
    <w:p w:rsidR="00DF2F18" w:rsidRDefault="00DF2F18" w:rsidP="0031796D">
      <w:pPr>
        <w:pStyle w:val="NoSpacing"/>
        <w:rPr>
          <w:rFonts w:ascii="Arial" w:hAnsi="Arial" w:cs="Arial"/>
        </w:rPr>
      </w:pPr>
      <w:r>
        <w:rPr>
          <w:rFonts w:ascii="Arial" w:hAnsi="Arial" w:cs="Arial"/>
        </w:rPr>
        <w:lastRenderedPageBreak/>
        <w:t xml:space="preserve">29.2% of residents over the age of 16 in Kendal LAP are single. Half (50.2%) are either married or in a civil partnership. 12.5% are either separated or divorced, while 8.1% are widowed. </w:t>
      </w:r>
    </w:p>
    <w:p w:rsidR="00DF2F18" w:rsidRDefault="00DF2F18" w:rsidP="0031796D">
      <w:pPr>
        <w:pStyle w:val="NoSpacing"/>
        <w:rPr>
          <w:rFonts w:ascii="Arial" w:hAnsi="Arial" w:cs="Arial"/>
        </w:rPr>
      </w:pPr>
    </w:p>
    <w:p w:rsidR="00DF2F18" w:rsidRDefault="00DF2F18" w:rsidP="0031796D">
      <w:pPr>
        <w:pStyle w:val="NoSpacing"/>
        <w:rPr>
          <w:rFonts w:ascii="Arial" w:hAnsi="Arial" w:cs="Arial"/>
        </w:rPr>
      </w:pPr>
    </w:p>
    <w:p w:rsidR="00DF2F18" w:rsidRDefault="00DF2F18" w:rsidP="005328D1">
      <w:pPr>
        <w:pStyle w:val="NoSpacing"/>
        <w:outlineLvl w:val="0"/>
        <w:rPr>
          <w:rFonts w:ascii="Arial" w:hAnsi="Arial" w:cs="Arial"/>
          <w:b/>
          <w:color w:val="4F81BD" w:themeColor="accent1"/>
          <w:sz w:val="28"/>
        </w:rPr>
      </w:pPr>
      <w:bookmarkStart w:id="5" w:name="_Toc364152050"/>
      <w:r>
        <w:rPr>
          <w:rFonts w:ascii="Arial" w:hAnsi="Arial" w:cs="Arial"/>
          <w:b/>
          <w:color w:val="4F81BD" w:themeColor="accent1"/>
          <w:sz w:val="28"/>
        </w:rPr>
        <w:t>Health &amp; Wellbeing</w:t>
      </w:r>
      <w:bookmarkEnd w:id="5"/>
      <w:r>
        <w:rPr>
          <w:rFonts w:ascii="Arial" w:hAnsi="Arial" w:cs="Arial"/>
          <w:b/>
          <w:color w:val="4F81BD" w:themeColor="accent1"/>
          <w:sz w:val="28"/>
        </w:rPr>
        <w:t xml:space="preserve"> </w:t>
      </w:r>
    </w:p>
    <w:p w:rsidR="00DF2F18" w:rsidRDefault="00DF2F18" w:rsidP="0031796D">
      <w:pPr>
        <w:pStyle w:val="NoSpacing"/>
        <w:rPr>
          <w:rFonts w:ascii="Arial" w:hAnsi="Arial" w:cs="Arial"/>
        </w:rPr>
      </w:pPr>
    </w:p>
    <w:p w:rsidR="009936E2" w:rsidRDefault="00DF2F18" w:rsidP="0031796D">
      <w:pPr>
        <w:pStyle w:val="NoSpacing"/>
        <w:rPr>
          <w:rFonts w:ascii="Arial" w:hAnsi="Arial" w:cs="Arial"/>
        </w:rPr>
      </w:pPr>
      <w:r>
        <w:rPr>
          <w:rFonts w:ascii="Arial" w:hAnsi="Arial" w:cs="Arial"/>
        </w:rPr>
        <w:t xml:space="preserve">The overall health of Kendal LAP’s residents is generally good, with more than four in five (82.2%) saying that their health is either very good or good when asked in the 2011 Census. Just 4.8% (1,436 residents) said that it was either bad or very bad. </w:t>
      </w:r>
      <w:r w:rsidR="009936E2">
        <w:rPr>
          <w:rFonts w:ascii="Arial" w:hAnsi="Arial" w:cs="Arial"/>
        </w:rPr>
        <w:t xml:space="preserve">Oxenholme has the highest proportion of residents with good/very good health (88.3%), while Kendal Highgate and Kendal Nether wards both had the highest proportions of residents with bad/very bad health (6.4%). </w:t>
      </w:r>
    </w:p>
    <w:p w:rsidR="009936E2" w:rsidRDefault="009936E2" w:rsidP="0031796D">
      <w:pPr>
        <w:pStyle w:val="NoSpacing"/>
        <w:rPr>
          <w:rFonts w:ascii="Arial" w:hAnsi="Arial" w:cs="Arial"/>
        </w:rPr>
      </w:pPr>
    </w:p>
    <w:p w:rsidR="00504ED3" w:rsidRDefault="006F0189" w:rsidP="0031796D">
      <w:pPr>
        <w:pStyle w:val="NoSpacing"/>
        <w:rPr>
          <w:rFonts w:ascii="Arial" w:hAnsi="Arial" w:cs="Arial"/>
        </w:rPr>
      </w:pPr>
      <w:r>
        <w:rPr>
          <w:rFonts w:ascii="Arial" w:hAnsi="Arial" w:cs="Arial"/>
        </w:rPr>
        <w:t xml:space="preserve">Again, the overall majority of residents (82.3%) are not limited in their day-to-day activities by any health problems or disability. However, 2,902 (9.6%) residents’ day-to-day activities are limited a little, and 2,433 (8.1%) limited a lot through health problems or disability. Again, Oxenholme has the greatest proportion of residents with no limiting health problems/disabilities (88.1%). Kendal Heron Hill ward has the biggest proportion limited a little (12%) and Kendal Kirkland the largest percentage limited a lot (10.5%). 10.8% of residents provide some kind of unpaid care, the majority between 1 to 19 hours per week. All of these proportions </w:t>
      </w:r>
      <w:r w:rsidR="003D345D">
        <w:rPr>
          <w:rFonts w:ascii="Arial" w:hAnsi="Arial" w:cs="Arial"/>
        </w:rPr>
        <w:t xml:space="preserve">are similar to those of South Lakeland as a whole. </w:t>
      </w:r>
    </w:p>
    <w:p w:rsidR="003D345D" w:rsidRDefault="003D345D" w:rsidP="0031796D">
      <w:pPr>
        <w:pStyle w:val="NoSpacing"/>
        <w:rPr>
          <w:rFonts w:ascii="Arial" w:hAnsi="Arial" w:cs="Arial"/>
        </w:rPr>
      </w:pPr>
    </w:p>
    <w:p w:rsidR="003D345D" w:rsidRDefault="003D345D" w:rsidP="0031796D">
      <w:pPr>
        <w:pStyle w:val="NoSpacing"/>
        <w:rPr>
          <w:rFonts w:ascii="Arial" w:hAnsi="Arial" w:cs="Arial"/>
        </w:rPr>
      </w:pPr>
      <w:r>
        <w:rPr>
          <w:rFonts w:ascii="Arial" w:hAnsi="Arial" w:cs="Arial"/>
        </w:rPr>
        <w:t xml:space="preserve">The average life expectancy in Kendal LAP is 80 years. This is the same as the district as a whole. </w:t>
      </w:r>
    </w:p>
    <w:p w:rsidR="003D345D" w:rsidRDefault="003D345D" w:rsidP="0031796D">
      <w:pPr>
        <w:pStyle w:val="NoSpacing"/>
        <w:rPr>
          <w:rFonts w:ascii="Arial" w:hAnsi="Arial" w:cs="Arial"/>
        </w:rPr>
      </w:pPr>
    </w:p>
    <w:p w:rsidR="003D345D" w:rsidRDefault="003D345D" w:rsidP="0031796D">
      <w:pPr>
        <w:pStyle w:val="NoSpacing"/>
        <w:rPr>
          <w:rFonts w:ascii="Arial" w:hAnsi="Arial" w:cs="Arial"/>
        </w:rPr>
      </w:pPr>
      <w:r>
        <w:rPr>
          <w:rFonts w:ascii="Arial" w:hAnsi="Arial" w:cs="Arial"/>
        </w:rPr>
        <w:t xml:space="preserve">An estimated 24% of adults in Kendal LAP smoke, higher than the district estimate of 22%. 21% are estimated to binge drink (consumption of more than 8 units in a day at least once a week for a man, 6 for a woman), slightly higher than the district estimate. It is estimated that one in four Kendal LAP residents are obese, again higher than the South Lakeland estimate. </w:t>
      </w:r>
    </w:p>
    <w:p w:rsidR="003D345D" w:rsidRDefault="003D345D" w:rsidP="0031796D">
      <w:pPr>
        <w:pStyle w:val="NoSpacing"/>
        <w:rPr>
          <w:rFonts w:ascii="Arial" w:hAnsi="Arial" w:cs="Arial"/>
        </w:rPr>
      </w:pPr>
    </w:p>
    <w:tbl>
      <w:tblPr>
        <w:tblStyle w:val="TableGrid"/>
        <w:tblW w:w="0" w:type="auto"/>
        <w:tblLook w:val="04A0" w:firstRow="1" w:lastRow="0" w:firstColumn="1" w:lastColumn="0" w:noHBand="0" w:noVBand="1"/>
      </w:tblPr>
      <w:tblGrid>
        <w:gridCol w:w="3080"/>
        <w:gridCol w:w="3081"/>
        <w:gridCol w:w="3081"/>
      </w:tblGrid>
      <w:tr w:rsidR="003D345D" w:rsidRPr="009951BF" w:rsidTr="00856783">
        <w:trPr>
          <w:trHeight w:val="320"/>
        </w:trPr>
        <w:tc>
          <w:tcPr>
            <w:tcW w:w="3080" w:type="dxa"/>
            <w:shd w:val="clear" w:color="auto" w:fill="4F81BD" w:themeFill="accent1"/>
            <w:vAlign w:val="center"/>
          </w:tcPr>
          <w:p w:rsidR="003D345D" w:rsidRPr="0058065F" w:rsidRDefault="003D345D" w:rsidP="00856783">
            <w:pPr>
              <w:pStyle w:val="NoSpacing"/>
              <w:rPr>
                <w:rFonts w:ascii="Arial" w:hAnsi="Arial" w:cs="Arial"/>
                <w:b/>
                <w:color w:val="FFFFFF" w:themeColor="background1"/>
              </w:rPr>
            </w:pPr>
            <w:r w:rsidRPr="0058065F">
              <w:rPr>
                <w:rFonts w:ascii="Arial" w:hAnsi="Arial" w:cs="Arial"/>
                <w:b/>
                <w:color w:val="FFFFFF" w:themeColor="background1"/>
              </w:rPr>
              <w:t>Adult Lifestyles</w:t>
            </w:r>
          </w:p>
        </w:tc>
        <w:tc>
          <w:tcPr>
            <w:tcW w:w="3081" w:type="dxa"/>
            <w:shd w:val="clear" w:color="auto" w:fill="4F81BD" w:themeFill="accent1"/>
            <w:vAlign w:val="center"/>
          </w:tcPr>
          <w:p w:rsidR="003D345D" w:rsidRPr="0058065F" w:rsidRDefault="003D345D" w:rsidP="00856783">
            <w:pPr>
              <w:pStyle w:val="NoSpacing"/>
              <w:jc w:val="center"/>
              <w:rPr>
                <w:rFonts w:ascii="Arial" w:hAnsi="Arial" w:cs="Arial"/>
                <w:b/>
                <w:color w:val="FFFFFF" w:themeColor="background1"/>
              </w:rPr>
            </w:pPr>
            <w:r>
              <w:rPr>
                <w:rFonts w:ascii="Arial" w:hAnsi="Arial" w:cs="Arial"/>
                <w:b/>
                <w:color w:val="FFFFFF" w:themeColor="background1"/>
              </w:rPr>
              <w:t>Kendal LAP</w:t>
            </w:r>
          </w:p>
        </w:tc>
        <w:tc>
          <w:tcPr>
            <w:tcW w:w="3081" w:type="dxa"/>
            <w:shd w:val="clear" w:color="auto" w:fill="4F81BD" w:themeFill="accent1"/>
            <w:vAlign w:val="center"/>
          </w:tcPr>
          <w:p w:rsidR="003D345D" w:rsidRPr="0058065F" w:rsidRDefault="003D345D" w:rsidP="00856783">
            <w:pPr>
              <w:pStyle w:val="NoSpacing"/>
              <w:jc w:val="center"/>
              <w:rPr>
                <w:rFonts w:ascii="Arial" w:hAnsi="Arial" w:cs="Arial"/>
                <w:b/>
                <w:color w:val="FFFFFF" w:themeColor="background1"/>
              </w:rPr>
            </w:pPr>
            <w:r w:rsidRPr="0058065F">
              <w:rPr>
                <w:rFonts w:ascii="Arial" w:hAnsi="Arial" w:cs="Arial"/>
                <w:b/>
                <w:color w:val="FFFFFF" w:themeColor="background1"/>
              </w:rPr>
              <w:t>South Lakeland</w:t>
            </w:r>
          </w:p>
        </w:tc>
      </w:tr>
      <w:tr w:rsidR="003D345D" w:rsidRPr="009951BF" w:rsidTr="00856783">
        <w:trPr>
          <w:trHeight w:val="320"/>
        </w:trPr>
        <w:tc>
          <w:tcPr>
            <w:tcW w:w="3080" w:type="dxa"/>
            <w:vAlign w:val="center"/>
          </w:tcPr>
          <w:p w:rsidR="003D345D" w:rsidRPr="009951BF" w:rsidRDefault="003D345D" w:rsidP="00856783">
            <w:pPr>
              <w:pStyle w:val="NoSpacing"/>
              <w:rPr>
                <w:rFonts w:ascii="Arial" w:hAnsi="Arial" w:cs="Arial"/>
              </w:rPr>
            </w:pPr>
            <w:r w:rsidRPr="009951BF">
              <w:rPr>
                <w:rFonts w:ascii="Arial" w:hAnsi="Arial" w:cs="Arial"/>
              </w:rPr>
              <w:t>Estimate of Smoking</w:t>
            </w:r>
          </w:p>
        </w:tc>
        <w:tc>
          <w:tcPr>
            <w:tcW w:w="3081" w:type="dxa"/>
            <w:vAlign w:val="center"/>
          </w:tcPr>
          <w:p w:rsidR="003D345D" w:rsidRPr="009951BF" w:rsidRDefault="003D345D" w:rsidP="00856783">
            <w:pPr>
              <w:pStyle w:val="NoSpacing"/>
              <w:jc w:val="center"/>
              <w:rPr>
                <w:rFonts w:ascii="Arial" w:hAnsi="Arial" w:cs="Arial"/>
              </w:rPr>
            </w:pPr>
            <w:r>
              <w:rPr>
                <w:rFonts w:ascii="Arial" w:hAnsi="Arial" w:cs="Arial"/>
              </w:rPr>
              <w:t>24%</w:t>
            </w:r>
          </w:p>
        </w:tc>
        <w:tc>
          <w:tcPr>
            <w:tcW w:w="3081" w:type="dxa"/>
            <w:vAlign w:val="center"/>
          </w:tcPr>
          <w:p w:rsidR="003D345D" w:rsidRPr="009951BF" w:rsidRDefault="003D345D" w:rsidP="00856783">
            <w:pPr>
              <w:pStyle w:val="NoSpacing"/>
              <w:jc w:val="center"/>
              <w:rPr>
                <w:rFonts w:ascii="Arial" w:hAnsi="Arial" w:cs="Arial"/>
              </w:rPr>
            </w:pPr>
            <w:r>
              <w:rPr>
                <w:rFonts w:ascii="Arial" w:hAnsi="Arial" w:cs="Arial"/>
              </w:rPr>
              <w:t>22%</w:t>
            </w:r>
          </w:p>
        </w:tc>
      </w:tr>
      <w:tr w:rsidR="003D345D" w:rsidRPr="009951BF" w:rsidTr="00856783">
        <w:trPr>
          <w:trHeight w:val="320"/>
        </w:trPr>
        <w:tc>
          <w:tcPr>
            <w:tcW w:w="3080" w:type="dxa"/>
            <w:vAlign w:val="center"/>
          </w:tcPr>
          <w:p w:rsidR="003D345D" w:rsidRPr="009951BF" w:rsidRDefault="003D345D" w:rsidP="00856783">
            <w:pPr>
              <w:pStyle w:val="NoSpacing"/>
              <w:rPr>
                <w:rFonts w:ascii="Arial" w:hAnsi="Arial" w:cs="Arial"/>
              </w:rPr>
            </w:pPr>
            <w:r w:rsidRPr="009951BF">
              <w:rPr>
                <w:rFonts w:ascii="Arial" w:hAnsi="Arial" w:cs="Arial"/>
              </w:rPr>
              <w:t>Estimate of Binge Drinking</w:t>
            </w:r>
          </w:p>
        </w:tc>
        <w:tc>
          <w:tcPr>
            <w:tcW w:w="3081" w:type="dxa"/>
            <w:vAlign w:val="center"/>
          </w:tcPr>
          <w:p w:rsidR="003D345D" w:rsidRPr="009951BF" w:rsidRDefault="003D345D" w:rsidP="00856783">
            <w:pPr>
              <w:pStyle w:val="NoSpacing"/>
              <w:jc w:val="center"/>
              <w:rPr>
                <w:rFonts w:ascii="Arial" w:hAnsi="Arial" w:cs="Arial"/>
              </w:rPr>
            </w:pPr>
            <w:r>
              <w:rPr>
                <w:rFonts w:ascii="Arial" w:hAnsi="Arial" w:cs="Arial"/>
              </w:rPr>
              <w:t>21%</w:t>
            </w:r>
          </w:p>
        </w:tc>
        <w:tc>
          <w:tcPr>
            <w:tcW w:w="3081" w:type="dxa"/>
            <w:vAlign w:val="center"/>
          </w:tcPr>
          <w:p w:rsidR="003D345D" w:rsidRPr="009951BF" w:rsidRDefault="003D345D" w:rsidP="00856783">
            <w:pPr>
              <w:pStyle w:val="NoSpacing"/>
              <w:jc w:val="center"/>
              <w:rPr>
                <w:rFonts w:ascii="Arial" w:hAnsi="Arial" w:cs="Arial"/>
              </w:rPr>
            </w:pPr>
            <w:r>
              <w:rPr>
                <w:rFonts w:ascii="Arial" w:hAnsi="Arial" w:cs="Arial"/>
              </w:rPr>
              <w:t>20%</w:t>
            </w:r>
          </w:p>
        </w:tc>
      </w:tr>
      <w:tr w:rsidR="003D345D" w:rsidRPr="009951BF" w:rsidTr="00856783">
        <w:trPr>
          <w:trHeight w:val="320"/>
        </w:trPr>
        <w:tc>
          <w:tcPr>
            <w:tcW w:w="3080" w:type="dxa"/>
            <w:vAlign w:val="center"/>
          </w:tcPr>
          <w:p w:rsidR="003D345D" w:rsidRPr="009951BF" w:rsidRDefault="003D345D" w:rsidP="00856783">
            <w:pPr>
              <w:pStyle w:val="NoSpacing"/>
              <w:rPr>
                <w:rFonts w:ascii="Arial" w:hAnsi="Arial" w:cs="Arial"/>
              </w:rPr>
            </w:pPr>
            <w:r w:rsidRPr="009951BF">
              <w:rPr>
                <w:rFonts w:ascii="Arial" w:hAnsi="Arial" w:cs="Arial"/>
              </w:rPr>
              <w:t>Estimate of Obesity</w:t>
            </w:r>
          </w:p>
        </w:tc>
        <w:tc>
          <w:tcPr>
            <w:tcW w:w="3081" w:type="dxa"/>
            <w:vAlign w:val="center"/>
          </w:tcPr>
          <w:p w:rsidR="003D345D" w:rsidRPr="009951BF" w:rsidRDefault="003D345D" w:rsidP="00856783">
            <w:pPr>
              <w:pStyle w:val="NoSpacing"/>
              <w:jc w:val="center"/>
              <w:rPr>
                <w:rFonts w:ascii="Arial" w:hAnsi="Arial" w:cs="Arial"/>
              </w:rPr>
            </w:pPr>
            <w:r>
              <w:rPr>
                <w:rFonts w:ascii="Arial" w:hAnsi="Arial" w:cs="Arial"/>
              </w:rPr>
              <w:t>25%</w:t>
            </w:r>
          </w:p>
        </w:tc>
        <w:tc>
          <w:tcPr>
            <w:tcW w:w="3081" w:type="dxa"/>
            <w:vAlign w:val="center"/>
          </w:tcPr>
          <w:p w:rsidR="003D345D" w:rsidRPr="009951BF" w:rsidRDefault="003D345D" w:rsidP="00856783">
            <w:pPr>
              <w:pStyle w:val="NoSpacing"/>
              <w:jc w:val="center"/>
              <w:rPr>
                <w:rFonts w:ascii="Arial" w:hAnsi="Arial" w:cs="Arial"/>
              </w:rPr>
            </w:pPr>
            <w:r>
              <w:rPr>
                <w:rFonts w:ascii="Arial" w:hAnsi="Arial" w:cs="Arial"/>
              </w:rPr>
              <w:t>22%</w:t>
            </w:r>
          </w:p>
        </w:tc>
      </w:tr>
    </w:tbl>
    <w:p w:rsidR="003D345D" w:rsidRPr="00331A77" w:rsidRDefault="003D345D" w:rsidP="0031796D">
      <w:pPr>
        <w:pStyle w:val="NoSpacing"/>
        <w:rPr>
          <w:rFonts w:ascii="Arial" w:hAnsi="Arial" w:cs="Arial"/>
        </w:rPr>
      </w:pPr>
    </w:p>
    <w:p w:rsidR="00004F99" w:rsidRDefault="003D345D" w:rsidP="0031796D">
      <w:pPr>
        <w:pStyle w:val="NoSpacing"/>
        <w:rPr>
          <w:rFonts w:ascii="Arial" w:hAnsi="Arial" w:cs="Arial"/>
        </w:rPr>
      </w:pPr>
      <w:r>
        <w:rPr>
          <w:rFonts w:ascii="Arial" w:hAnsi="Arial" w:cs="Arial"/>
        </w:rPr>
        <w:t xml:space="preserve">8.8% of the children (0-19 years old) in Kendal LAP are said to be living in child poverty. This is defined as children living in families in receipt of Council Tax Credits whose reported income is less than 60% of the average income, or in receipt of Income Support or income based JSA. This is slightly higher than the average for South Lakeland which stands at 7.5%. </w:t>
      </w:r>
      <w:r w:rsidR="004C1DCC">
        <w:rPr>
          <w:rFonts w:ascii="Arial" w:hAnsi="Arial" w:cs="Arial"/>
        </w:rPr>
        <w:t xml:space="preserve">Kendal Underley ward has the highest proportion of child poverty in the LAP (22.1%). The figure is also high in Kendal Kirkland ward (19.8%). </w:t>
      </w:r>
    </w:p>
    <w:p w:rsidR="004C1DCC" w:rsidRDefault="004C1DCC" w:rsidP="0031796D">
      <w:pPr>
        <w:pStyle w:val="NoSpacing"/>
        <w:rPr>
          <w:rFonts w:ascii="Arial" w:hAnsi="Arial" w:cs="Arial"/>
        </w:rPr>
      </w:pPr>
    </w:p>
    <w:p w:rsidR="004C1DCC" w:rsidRDefault="004C1DCC" w:rsidP="0031796D">
      <w:pPr>
        <w:pStyle w:val="NoSpacing"/>
        <w:rPr>
          <w:rFonts w:ascii="Arial" w:hAnsi="Arial" w:cs="Arial"/>
        </w:rPr>
      </w:pPr>
    </w:p>
    <w:p w:rsidR="004C1DCC" w:rsidRDefault="004C1DCC" w:rsidP="005328D1">
      <w:pPr>
        <w:pStyle w:val="NoSpacing"/>
        <w:outlineLvl w:val="0"/>
        <w:rPr>
          <w:rFonts w:ascii="Arial" w:hAnsi="Arial" w:cs="Arial"/>
          <w:b/>
          <w:color w:val="4F81BD" w:themeColor="accent1"/>
          <w:sz w:val="28"/>
        </w:rPr>
      </w:pPr>
      <w:bookmarkStart w:id="6" w:name="_Toc364152051"/>
      <w:r>
        <w:rPr>
          <w:rFonts w:ascii="Arial" w:hAnsi="Arial" w:cs="Arial"/>
          <w:b/>
          <w:color w:val="4F81BD" w:themeColor="accent1"/>
          <w:sz w:val="28"/>
        </w:rPr>
        <w:t>Ethnicity, Nationality &amp; Religion</w:t>
      </w:r>
      <w:bookmarkEnd w:id="6"/>
    </w:p>
    <w:p w:rsidR="004C1DCC" w:rsidRDefault="004C1DCC" w:rsidP="0031796D">
      <w:pPr>
        <w:pStyle w:val="NoSpacing"/>
        <w:rPr>
          <w:rFonts w:ascii="Arial" w:hAnsi="Arial" w:cs="Arial"/>
        </w:rPr>
      </w:pPr>
    </w:p>
    <w:p w:rsidR="004C1DCC" w:rsidRDefault="0029613C" w:rsidP="0031796D">
      <w:pPr>
        <w:pStyle w:val="NoSpacing"/>
        <w:rPr>
          <w:rFonts w:ascii="Arial" w:hAnsi="Arial" w:cs="Arial"/>
        </w:rPr>
      </w:pPr>
      <w:r>
        <w:rPr>
          <w:rFonts w:ascii="Arial" w:hAnsi="Arial" w:cs="Arial"/>
        </w:rPr>
        <w:t xml:space="preserve">The vast majority of Kendal LAP residents are classed as White British (95.7%), with 2.6% being classed as White Other (Irish, European, Australian, Gypsy/Traveller etc). The remaining 1.7% is made up of Asian and Black African/Caribbean residents (including mixed race). All the proportions of the different ethnic groups are similar in comparison to South Lakeland as a whole. </w:t>
      </w:r>
    </w:p>
    <w:p w:rsidR="0029613C" w:rsidRDefault="0029613C" w:rsidP="0031796D">
      <w:pPr>
        <w:pStyle w:val="NoSpacing"/>
        <w:rPr>
          <w:rFonts w:ascii="Arial" w:hAnsi="Arial" w:cs="Arial"/>
        </w:rPr>
      </w:pPr>
    </w:p>
    <w:p w:rsidR="0029613C" w:rsidRDefault="00393122" w:rsidP="0031796D">
      <w:pPr>
        <w:pStyle w:val="NoSpacing"/>
        <w:rPr>
          <w:rFonts w:ascii="Arial" w:hAnsi="Arial" w:cs="Arial"/>
        </w:rPr>
      </w:pPr>
      <w:r>
        <w:rPr>
          <w:rFonts w:ascii="Arial" w:hAnsi="Arial" w:cs="Arial"/>
        </w:rPr>
        <w:t xml:space="preserve">England is the country of birth of 92.1% of Kendal LAP residents, with Britain as a whole </w:t>
      </w:r>
      <w:r>
        <w:rPr>
          <w:rFonts w:ascii="Arial" w:hAnsi="Arial" w:cs="Arial"/>
        </w:rPr>
        <w:lastRenderedPageBreak/>
        <w:t xml:space="preserve">accounting for 95.5% (Inc. Scotland, Wales, </w:t>
      </w:r>
      <w:proofErr w:type="gramStart"/>
      <w:r>
        <w:rPr>
          <w:rFonts w:ascii="Arial" w:hAnsi="Arial" w:cs="Arial"/>
        </w:rPr>
        <w:t>N</w:t>
      </w:r>
      <w:proofErr w:type="gramEnd"/>
      <w:r>
        <w:rPr>
          <w:rFonts w:ascii="Arial" w:hAnsi="Arial" w:cs="Arial"/>
        </w:rPr>
        <w:t xml:space="preserve">. Ireland). 1.9% of residents name their country of birth as other EU member countries, with the remaining 2.6% being born elsewhere. Again, the proportions are similar to South Lakeland as a whole. </w:t>
      </w:r>
    </w:p>
    <w:p w:rsidR="00393122" w:rsidRDefault="00393122" w:rsidP="0031796D">
      <w:pPr>
        <w:pStyle w:val="NoSpacing"/>
        <w:rPr>
          <w:rFonts w:ascii="Arial" w:hAnsi="Arial" w:cs="Arial"/>
        </w:rPr>
      </w:pPr>
    </w:p>
    <w:p w:rsidR="001C2EAD" w:rsidRDefault="0033427B" w:rsidP="0031796D">
      <w:pPr>
        <w:pStyle w:val="NoSpacing"/>
        <w:rPr>
          <w:rFonts w:ascii="Arial" w:hAnsi="Arial" w:cs="Arial"/>
        </w:rPr>
      </w:pPr>
      <w:r>
        <w:rPr>
          <w:rFonts w:ascii="Arial" w:hAnsi="Arial" w:cs="Arial"/>
        </w:rPr>
        <w:t xml:space="preserve">Christianity is the main religion in Kendal LAP, as it is in South Lakeland as a whole, </w:t>
      </w:r>
      <w:r w:rsidR="001C2EAD">
        <w:rPr>
          <w:rFonts w:ascii="Arial" w:hAnsi="Arial" w:cs="Arial"/>
        </w:rPr>
        <w:t xml:space="preserve">with 66.4% of residents following this faith. One in four residents (25.4%) </w:t>
      </w:r>
      <w:proofErr w:type="gramStart"/>
      <w:r w:rsidR="001C2EAD">
        <w:rPr>
          <w:rFonts w:ascii="Arial" w:hAnsi="Arial" w:cs="Arial"/>
        </w:rPr>
        <w:t>do</w:t>
      </w:r>
      <w:proofErr w:type="gramEnd"/>
      <w:r w:rsidR="001C2EAD">
        <w:rPr>
          <w:rFonts w:ascii="Arial" w:hAnsi="Arial" w:cs="Arial"/>
        </w:rPr>
        <w:t xml:space="preserve"> not follow any religion. </w:t>
      </w:r>
    </w:p>
    <w:p w:rsidR="009363EE" w:rsidRDefault="009363EE" w:rsidP="0031796D">
      <w:pPr>
        <w:pStyle w:val="NoSpacing"/>
        <w:rPr>
          <w:rFonts w:ascii="Arial" w:hAnsi="Arial" w:cs="Arial"/>
        </w:rPr>
      </w:pPr>
    </w:p>
    <w:p w:rsidR="009363EE" w:rsidRDefault="009363EE" w:rsidP="0031796D">
      <w:pPr>
        <w:pStyle w:val="NoSpacing"/>
        <w:rPr>
          <w:rFonts w:ascii="Arial" w:hAnsi="Arial" w:cs="Arial"/>
        </w:rPr>
      </w:pPr>
    </w:p>
    <w:p w:rsidR="009363EE" w:rsidRDefault="009363EE" w:rsidP="005328D1">
      <w:pPr>
        <w:pStyle w:val="NoSpacing"/>
        <w:outlineLvl w:val="0"/>
        <w:rPr>
          <w:rFonts w:ascii="Arial" w:hAnsi="Arial" w:cs="Arial"/>
          <w:b/>
          <w:color w:val="4F81BD" w:themeColor="accent1"/>
          <w:sz w:val="28"/>
        </w:rPr>
      </w:pPr>
      <w:bookmarkStart w:id="7" w:name="_Toc364152052"/>
      <w:r>
        <w:rPr>
          <w:rFonts w:ascii="Arial" w:hAnsi="Arial" w:cs="Arial"/>
          <w:b/>
          <w:color w:val="4F81BD" w:themeColor="accent1"/>
          <w:sz w:val="28"/>
        </w:rPr>
        <w:t>Housing</w:t>
      </w:r>
      <w:bookmarkEnd w:id="7"/>
    </w:p>
    <w:p w:rsidR="009363EE" w:rsidRDefault="009363EE" w:rsidP="0031796D">
      <w:pPr>
        <w:pStyle w:val="NoSpacing"/>
        <w:rPr>
          <w:rFonts w:ascii="Arial" w:hAnsi="Arial" w:cs="Arial"/>
          <w:b/>
        </w:rPr>
      </w:pPr>
    </w:p>
    <w:p w:rsidR="009363EE" w:rsidRDefault="00A323B6" w:rsidP="0031796D">
      <w:pPr>
        <w:pStyle w:val="NoSpacing"/>
        <w:rPr>
          <w:rFonts w:ascii="Arial" w:hAnsi="Arial" w:cs="Arial"/>
        </w:rPr>
      </w:pPr>
      <w:r>
        <w:rPr>
          <w:noProof/>
          <w:lang w:eastAsia="en-GB"/>
        </w:rPr>
        <w:drawing>
          <wp:anchor distT="0" distB="0" distL="114300" distR="114300" simplePos="0" relativeHeight="251659264" behindDoc="0" locked="0" layoutInCell="1" allowOverlap="1" wp14:anchorId="27C72D47" wp14:editId="1F20C434">
            <wp:simplePos x="0" y="0"/>
            <wp:positionH relativeFrom="column">
              <wp:posOffset>3028950</wp:posOffset>
            </wp:positionH>
            <wp:positionV relativeFrom="paragraph">
              <wp:posOffset>1265555</wp:posOffset>
            </wp:positionV>
            <wp:extent cx="2971800" cy="2905125"/>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179F7BA8" wp14:editId="5C579A4C">
            <wp:simplePos x="0" y="0"/>
            <wp:positionH relativeFrom="column">
              <wp:posOffset>66675</wp:posOffset>
            </wp:positionH>
            <wp:positionV relativeFrom="paragraph">
              <wp:posOffset>1265555</wp:posOffset>
            </wp:positionV>
            <wp:extent cx="2876550" cy="2905125"/>
            <wp:effectExtent l="0" t="0" r="0"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9363EE">
        <w:rPr>
          <w:rFonts w:ascii="Arial" w:hAnsi="Arial" w:cs="Arial"/>
        </w:rPr>
        <w:t xml:space="preserve">There are 14,190 dwellings in Kendal LAP (13,557 households, there may be multiple dwellings in one household i.e. shared houses). The majority of the dwellings in Kendal LAP are semi-detached (33.1%) and terraced (28.8%). 19% are detached properties, while 14.1% are purpose built flats and 3.5% are shared houses. When compared to South Lakeland as a whole, the proportions of semi-detached properties, terraced properties, and purpose built flats are all higher, while the proportion of detached dwellings and shared houses are lower in comparison. </w:t>
      </w:r>
    </w:p>
    <w:p w:rsidR="009363EE" w:rsidRDefault="009363EE" w:rsidP="0031796D">
      <w:pPr>
        <w:pStyle w:val="NoSpacing"/>
        <w:rPr>
          <w:rFonts w:ascii="Arial" w:hAnsi="Arial" w:cs="Arial"/>
        </w:rPr>
      </w:pPr>
    </w:p>
    <w:p w:rsidR="00A323B6" w:rsidRDefault="00A323B6" w:rsidP="0031796D">
      <w:pPr>
        <w:pStyle w:val="NoSpacing"/>
        <w:rPr>
          <w:rFonts w:ascii="Arial" w:hAnsi="Arial" w:cs="Arial"/>
        </w:rPr>
      </w:pPr>
      <w:r>
        <w:rPr>
          <w:rFonts w:ascii="Arial" w:hAnsi="Arial" w:cs="Arial"/>
        </w:rPr>
        <w:t>Of the total households in Kendal LAP (13,557), 39.7% are owned outright, while 33.1% are owned with a mortgage. 13.9% are private rented (landlord, letting agency etc) and 4.4% are social rented (local authority, housing agency etc). Compared to South Lakeland as a whole, the proportion of properties owned with a mortgage and social rented are higher, while the proportions owned outright and private rented are lower.</w:t>
      </w:r>
    </w:p>
    <w:p w:rsidR="00A323B6" w:rsidRDefault="00A323B6" w:rsidP="0031796D">
      <w:pPr>
        <w:pStyle w:val="NoSpacing"/>
        <w:rPr>
          <w:rFonts w:ascii="Arial" w:hAnsi="Arial" w:cs="Arial"/>
        </w:rPr>
      </w:pPr>
    </w:p>
    <w:p w:rsidR="00A323B6" w:rsidRDefault="000E782F" w:rsidP="0031796D">
      <w:pPr>
        <w:pStyle w:val="NoSpacing"/>
        <w:rPr>
          <w:rFonts w:ascii="Arial" w:hAnsi="Arial" w:cs="Arial"/>
        </w:rPr>
      </w:pPr>
      <w:r>
        <w:rPr>
          <w:rFonts w:ascii="Arial" w:hAnsi="Arial" w:cs="Arial"/>
        </w:rPr>
        <w:t>In April 2010 there were 321 second homes registered for council tax in the LAP, which is 2.3% of the domestic properties registered for council tax in the LAP area. This is lower than the proportion at district level (6.8%). At the same period there were just 12 holiday homes, 0.1% of the total and again lower than the proportion for South Lakeland overall (2.6%). When compared to the other eight district LAPs, the proportions of second and holiday homes in LAP area is far lower than most (similar to Low Furness &amp; Ulverston LAP).</w:t>
      </w:r>
    </w:p>
    <w:p w:rsidR="000E782F" w:rsidRDefault="000E782F" w:rsidP="0031796D">
      <w:pPr>
        <w:pStyle w:val="NoSpacing"/>
        <w:rPr>
          <w:rFonts w:ascii="Arial" w:hAnsi="Arial" w:cs="Arial"/>
        </w:rPr>
      </w:pPr>
    </w:p>
    <w:p w:rsidR="000E782F" w:rsidRDefault="000E782F" w:rsidP="0031796D">
      <w:pPr>
        <w:pStyle w:val="NoSpacing"/>
        <w:rPr>
          <w:rFonts w:ascii="Arial" w:hAnsi="Arial" w:cs="Arial"/>
        </w:rPr>
      </w:pPr>
    </w:p>
    <w:p w:rsidR="00A323B6" w:rsidRDefault="00A323B6" w:rsidP="0031796D">
      <w:pPr>
        <w:pStyle w:val="NoSpacing"/>
        <w:rPr>
          <w:rFonts w:ascii="Arial" w:hAnsi="Arial" w:cs="Arial"/>
        </w:rPr>
      </w:pPr>
    </w:p>
    <w:p w:rsidR="00A323B6" w:rsidRPr="009363EE" w:rsidRDefault="00A323B6" w:rsidP="0031796D">
      <w:pPr>
        <w:pStyle w:val="NoSpacing"/>
        <w:rPr>
          <w:rFonts w:ascii="Arial" w:hAnsi="Arial" w:cs="Arial"/>
        </w:rPr>
      </w:pPr>
    </w:p>
    <w:p w:rsidR="00393122" w:rsidRPr="004C1DCC" w:rsidRDefault="00393122" w:rsidP="0031796D">
      <w:pPr>
        <w:pStyle w:val="NoSpacing"/>
        <w:rPr>
          <w:rFonts w:ascii="Arial" w:hAnsi="Arial" w:cs="Arial"/>
        </w:rPr>
      </w:pPr>
    </w:p>
    <w:p w:rsidR="0031796D" w:rsidRDefault="000E782F" w:rsidP="000E782F">
      <w:pPr>
        <w:pStyle w:val="NoSpacing"/>
        <w:rPr>
          <w:rFonts w:ascii="Arial" w:hAnsi="Arial" w:cs="Arial"/>
        </w:rPr>
      </w:pPr>
      <w:r>
        <w:rPr>
          <w:rFonts w:ascii="Arial" w:hAnsi="Arial" w:cs="Arial"/>
        </w:rPr>
        <w:lastRenderedPageBreak/>
        <w:t>The average house price in Kendal LAP is £189,172, while the average household income is £31,924. This makes the average house price more almost 6 times higher than the average household income. This is called the household affordability ratio. As can be seen in the following table, the LAP's af</w:t>
      </w:r>
      <w:r w:rsidR="00F74134">
        <w:rPr>
          <w:rFonts w:ascii="Arial" w:hAnsi="Arial" w:cs="Arial"/>
        </w:rPr>
        <w:t>f</w:t>
      </w:r>
      <w:r>
        <w:rPr>
          <w:rFonts w:ascii="Arial" w:hAnsi="Arial" w:cs="Arial"/>
        </w:rPr>
        <w:t xml:space="preserve">ordability </w:t>
      </w:r>
      <w:r w:rsidR="00F74134">
        <w:rPr>
          <w:rFonts w:ascii="Arial" w:hAnsi="Arial" w:cs="Arial"/>
        </w:rPr>
        <w:t xml:space="preserve">ratio is lower than the district ratio, showing that properties in Kendal LAP are more affordable than they are in South Lakeland overall (the second most affordable of all eight LAPs). </w:t>
      </w:r>
    </w:p>
    <w:p w:rsidR="00F74134" w:rsidRDefault="00F74134" w:rsidP="000E782F">
      <w:pPr>
        <w:pStyle w:val="NoSpacing"/>
        <w:rPr>
          <w:rFonts w:ascii="Arial" w:hAnsi="Arial" w:cs="Arial"/>
        </w:rPr>
      </w:pPr>
    </w:p>
    <w:tbl>
      <w:tblPr>
        <w:tblStyle w:val="TableGrid"/>
        <w:tblW w:w="0" w:type="auto"/>
        <w:tblLook w:val="04A0" w:firstRow="1" w:lastRow="0" w:firstColumn="1" w:lastColumn="0" w:noHBand="0" w:noVBand="1"/>
      </w:tblPr>
      <w:tblGrid>
        <w:gridCol w:w="2501"/>
        <w:gridCol w:w="2247"/>
        <w:gridCol w:w="2247"/>
        <w:gridCol w:w="2247"/>
      </w:tblGrid>
      <w:tr w:rsidR="00F74134" w:rsidRPr="009951BF" w:rsidTr="00856783">
        <w:trPr>
          <w:trHeight w:val="320"/>
        </w:trPr>
        <w:tc>
          <w:tcPr>
            <w:tcW w:w="2501" w:type="dxa"/>
            <w:shd w:val="clear" w:color="auto" w:fill="4F81BD" w:themeFill="accent1"/>
            <w:vAlign w:val="center"/>
          </w:tcPr>
          <w:p w:rsidR="00F74134" w:rsidRPr="009951BF" w:rsidRDefault="00F74134" w:rsidP="00856783">
            <w:pPr>
              <w:pStyle w:val="NoSpacing"/>
              <w:rPr>
                <w:rFonts w:ascii="Arial" w:hAnsi="Arial" w:cs="Arial"/>
                <w:color w:val="FFFFFF" w:themeColor="background1"/>
              </w:rPr>
            </w:pPr>
          </w:p>
        </w:tc>
        <w:tc>
          <w:tcPr>
            <w:tcW w:w="2247" w:type="dxa"/>
            <w:shd w:val="clear" w:color="auto" w:fill="4F81BD" w:themeFill="accent1"/>
            <w:vAlign w:val="center"/>
          </w:tcPr>
          <w:p w:rsidR="00F74134" w:rsidRPr="0058065F" w:rsidRDefault="00F74134" w:rsidP="00856783">
            <w:pPr>
              <w:pStyle w:val="NoSpacing"/>
              <w:jc w:val="center"/>
              <w:rPr>
                <w:rFonts w:ascii="Arial" w:hAnsi="Arial" w:cs="Arial"/>
                <w:b/>
                <w:color w:val="FFFFFF" w:themeColor="background1"/>
              </w:rPr>
            </w:pPr>
            <w:r w:rsidRPr="0058065F">
              <w:rPr>
                <w:rFonts w:ascii="Arial" w:hAnsi="Arial" w:cs="Arial"/>
                <w:b/>
                <w:color w:val="FFFFFF" w:themeColor="background1"/>
              </w:rPr>
              <w:t>House Price</w:t>
            </w:r>
          </w:p>
        </w:tc>
        <w:tc>
          <w:tcPr>
            <w:tcW w:w="2247" w:type="dxa"/>
            <w:shd w:val="clear" w:color="auto" w:fill="4F81BD" w:themeFill="accent1"/>
            <w:vAlign w:val="center"/>
          </w:tcPr>
          <w:p w:rsidR="00F74134" w:rsidRPr="0058065F" w:rsidRDefault="00F74134" w:rsidP="00856783">
            <w:pPr>
              <w:pStyle w:val="NoSpacing"/>
              <w:jc w:val="center"/>
              <w:rPr>
                <w:rFonts w:ascii="Arial" w:hAnsi="Arial" w:cs="Arial"/>
                <w:b/>
                <w:color w:val="FFFFFF" w:themeColor="background1"/>
              </w:rPr>
            </w:pPr>
            <w:r w:rsidRPr="0058065F">
              <w:rPr>
                <w:rFonts w:ascii="Arial" w:hAnsi="Arial" w:cs="Arial"/>
                <w:b/>
                <w:color w:val="FFFFFF" w:themeColor="background1"/>
              </w:rPr>
              <w:t>Household Income</w:t>
            </w:r>
          </w:p>
        </w:tc>
        <w:tc>
          <w:tcPr>
            <w:tcW w:w="2247" w:type="dxa"/>
            <w:shd w:val="clear" w:color="auto" w:fill="4F81BD" w:themeFill="accent1"/>
            <w:vAlign w:val="center"/>
          </w:tcPr>
          <w:p w:rsidR="00F74134" w:rsidRPr="0058065F" w:rsidRDefault="00F74134" w:rsidP="00856783">
            <w:pPr>
              <w:pStyle w:val="NoSpacing"/>
              <w:jc w:val="center"/>
              <w:rPr>
                <w:rFonts w:ascii="Arial" w:hAnsi="Arial" w:cs="Arial"/>
                <w:b/>
                <w:color w:val="FFFFFF" w:themeColor="background1"/>
              </w:rPr>
            </w:pPr>
            <w:r w:rsidRPr="0058065F">
              <w:rPr>
                <w:rFonts w:ascii="Arial" w:hAnsi="Arial" w:cs="Arial"/>
                <w:b/>
                <w:color w:val="FFFFFF" w:themeColor="background1"/>
              </w:rPr>
              <w:t>Affordability Ratio</w:t>
            </w:r>
          </w:p>
        </w:tc>
      </w:tr>
      <w:tr w:rsidR="00F74134" w:rsidRPr="009951BF" w:rsidTr="00856783">
        <w:trPr>
          <w:trHeight w:val="506"/>
        </w:trPr>
        <w:tc>
          <w:tcPr>
            <w:tcW w:w="2501" w:type="dxa"/>
            <w:vAlign w:val="center"/>
          </w:tcPr>
          <w:p w:rsidR="00F74134" w:rsidRPr="009951BF" w:rsidRDefault="00F74134" w:rsidP="00856783">
            <w:pPr>
              <w:pStyle w:val="NoSpacing"/>
              <w:rPr>
                <w:rFonts w:ascii="Arial" w:hAnsi="Arial" w:cs="Arial"/>
              </w:rPr>
            </w:pPr>
            <w:r>
              <w:rPr>
                <w:rFonts w:ascii="Arial" w:hAnsi="Arial" w:cs="Arial"/>
              </w:rPr>
              <w:t>Kendal LAP</w:t>
            </w:r>
          </w:p>
        </w:tc>
        <w:tc>
          <w:tcPr>
            <w:tcW w:w="2247" w:type="dxa"/>
            <w:vAlign w:val="center"/>
          </w:tcPr>
          <w:p w:rsidR="00F74134" w:rsidRPr="009951BF" w:rsidRDefault="00F74134" w:rsidP="00856783">
            <w:pPr>
              <w:pStyle w:val="NoSpacing"/>
              <w:jc w:val="center"/>
              <w:rPr>
                <w:rFonts w:ascii="Arial" w:hAnsi="Arial" w:cs="Arial"/>
              </w:rPr>
            </w:pPr>
            <w:r>
              <w:rPr>
                <w:rFonts w:ascii="Arial" w:hAnsi="Arial" w:cs="Arial"/>
              </w:rPr>
              <w:t>£189,172</w:t>
            </w:r>
          </w:p>
        </w:tc>
        <w:tc>
          <w:tcPr>
            <w:tcW w:w="2247" w:type="dxa"/>
            <w:vAlign w:val="center"/>
          </w:tcPr>
          <w:p w:rsidR="00F74134" w:rsidRPr="009951BF" w:rsidRDefault="00F74134" w:rsidP="00856783">
            <w:pPr>
              <w:pStyle w:val="NoSpacing"/>
              <w:jc w:val="center"/>
              <w:rPr>
                <w:rFonts w:ascii="Arial" w:hAnsi="Arial" w:cs="Arial"/>
              </w:rPr>
            </w:pPr>
            <w:r>
              <w:rPr>
                <w:rFonts w:ascii="Arial" w:hAnsi="Arial" w:cs="Arial"/>
              </w:rPr>
              <w:t>£31,924</w:t>
            </w:r>
          </w:p>
        </w:tc>
        <w:tc>
          <w:tcPr>
            <w:tcW w:w="2247" w:type="dxa"/>
            <w:vAlign w:val="center"/>
          </w:tcPr>
          <w:p w:rsidR="00F74134" w:rsidRPr="009951BF" w:rsidRDefault="00F74134" w:rsidP="00856783">
            <w:pPr>
              <w:pStyle w:val="NoSpacing"/>
              <w:jc w:val="center"/>
              <w:rPr>
                <w:rFonts w:ascii="Arial" w:hAnsi="Arial" w:cs="Arial"/>
              </w:rPr>
            </w:pPr>
            <w:r>
              <w:rPr>
                <w:rFonts w:ascii="Arial" w:hAnsi="Arial" w:cs="Arial"/>
              </w:rPr>
              <w:t>5.9</w:t>
            </w:r>
          </w:p>
        </w:tc>
      </w:tr>
      <w:tr w:rsidR="00F74134" w:rsidRPr="009951BF" w:rsidTr="00856783">
        <w:trPr>
          <w:trHeight w:val="506"/>
        </w:trPr>
        <w:tc>
          <w:tcPr>
            <w:tcW w:w="2501" w:type="dxa"/>
            <w:vAlign w:val="center"/>
          </w:tcPr>
          <w:p w:rsidR="00F74134" w:rsidRPr="009951BF" w:rsidRDefault="00F74134" w:rsidP="00856783">
            <w:pPr>
              <w:pStyle w:val="NoSpacing"/>
              <w:rPr>
                <w:rFonts w:ascii="Arial" w:hAnsi="Arial" w:cs="Arial"/>
              </w:rPr>
            </w:pPr>
            <w:r w:rsidRPr="009951BF">
              <w:rPr>
                <w:rFonts w:ascii="Arial" w:hAnsi="Arial" w:cs="Arial"/>
              </w:rPr>
              <w:t xml:space="preserve">South Lakeland </w:t>
            </w:r>
          </w:p>
        </w:tc>
        <w:tc>
          <w:tcPr>
            <w:tcW w:w="2247" w:type="dxa"/>
            <w:vAlign w:val="center"/>
          </w:tcPr>
          <w:p w:rsidR="00F74134" w:rsidRPr="009951BF" w:rsidRDefault="00F74134" w:rsidP="00856783">
            <w:pPr>
              <w:pStyle w:val="NoSpacing"/>
              <w:jc w:val="center"/>
              <w:rPr>
                <w:rFonts w:ascii="Arial" w:hAnsi="Arial" w:cs="Arial"/>
              </w:rPr>
            </w:pPr>
            <w:r>
              <w:rPr>
                <w:rFonts w:ascii="Arial" w:hAnsi="Arial" w:cs="Arial"/>
              </w:rPr>
              <w:t>£264,385</w:t>
            </w:r>
          </w:p>
        </w:tc>
        <w:tc>
          <w:tcPr>
            <w:tcW w:w="2247" w:type="dxa"/>
            <w:vAlign w:val="center"/>
          </w:tcPr>
          <w:p w:rsidR="00F74134" w:rsidRPr="009951BF" w:rsidRDefault="00F74134" w:rsidP="00856783">
            <w:pPr>
              <w:pStyle w:val="NoSpacing"/>
              <w:jc w:val="center"/>
              <w:rPr>
                <w:rFonts w:ascii="Arial" w:hAnsi="Arial" w:cs="Arial"/>
              </w:rPr>
            </w:pPr>
            <w:r>
              <w:rPr>
                <w:rFonts w:ascii="Arial" w:hAnsi="Arial" w:cs="Arial"/>
              </w:rPr>
              <w:t>£33,199</w:t>
            </w:r>
          </w:p>
        </w:tc>
        <w:tc>
          <w:tcPr>
            <w:tcW w:w="2247" w:type="dxa"/>
            <w:vAlign w:val="center"/>
          </w:tcPr>
          <w:p w:rsidR="00F74134" w:rsidRPr="009951BF" w:rsidRDefault="00F74134" w:rsidP="00856783">
            <w:pPr>
              <w:pStyle w:val="NoSpacing"/>
              <w:jc w:val="center"/>
              <w:rPr>
                <w:rFonts w:ascii="Arial" w:hAnsi="Arial" w:cs="Arial"/>
              </w:rPr>
            </w:pPr>
            <w:r>
              <w:rPr>
                <w:rFonts w:ascii="Arial" w:hAnsi="Arial" w:cs="Arial"/>
              </w:rPr>
              <w:t>8.0</w:t>
            </w:r>
          </w:p>
        </w:tc>
      </w:tr>
    </w:tbl>
    <w:p w:rsidR="00F74134" w:rsidRDefault="00F74134" w:rsidP="000E782F">
      <w:pPr>
        <w:pStyle w:val="NoSpacing"/>
        <w:rPr>
          <w:rFonts w:ascii="Arial" w:hAnsi="Arial" w:cs="Arial"/>
        </w:rPr>
      </w:pPr>
    </w:p>
    <w:p w:rsidR="00F74134" w:rsidRDefault="00F74134" w:rsidP="000E782F">
      <w:pPr>
        <w:pStyle w:val="NoSpacing"/>
        <w:rPr>
          <w:rFonts w:ascii="Arial" w:hAnsi="Arial" w:cs="Arial"/>
        </w:rPr>
      </w:pPr>
      <w:r>
        <w:rPr>
          <w:rFonts w:ascii="Arial" w:hAnsi="Arial" w:cs="Arial"/>
        </w:rPr>
        <w:t>32.4% of households in Kendal LAP are inhabited by families</w:t>
      </w:r>
      <w:r w:rsidR="00022896">
        <w:rPr>
          <w:rFonts w:ascii="Arial" w:hAnsi="Arial" w:cs="Arial"/>
        </w:rPr>
        <w:t xml:space="preserve">, 29.3% are inhabited by cohabiting and married couples, and 33.6% are one person households. When compared to South Lakeland as a whole, there </w:t>
      </w:r>
      <w:proofErr w:type="gramStart"/>
      <w:r w:rsidR="00022896">
        <w:rPr>
          <w:rFonts w:ascii="Arial" w:hAnsi="Arial" w:cs="Arial"/>
        </w:rPr>
        <w:t>is</w:t>
      </w:r>
      <w:proofErr w:type="gramEnd"/>
      <w:r w:rsidR="00022896">
        <w:rPr>
          <w:rFonts w:ascii="Arial" w:hAnsi="Arial" w:cs="Arial"/>
        </w:rPr>
        <w:t xml:space="preserve"> a higher proportion of family households, and lower proportions of couples and one person households.</w:t>
      </w:r>
    </w:p>
    <w:p w:rsidR="00022896" w:rsidRDefault="00022896" w:rsidP="000E782F">
      <w:pPr>
        <w:pStyle w:val="NoSpacing"/>
        <w:rPr>
          <w:rFonts w:ascii="Arial" w:hAnsi="Arial" w:cs="Arial"/>
        </w:rPr>
      </w:pPr>
    </w:p>
    <w:p w:rsidR="00022896" w:rsidRDefault="00E54F5F" w:rsidP="000E782F">
      <w:pPr>
        <w:pStyle w:val="NoSpacing"/>
        <w:rPr>
          <w:rFonts w:ascii="Arial" w:hAnsi="Arial" w:cs="Arial"/>
        </w:rPr>
      </w:pPr>
      <w:r>
        <w:rPr>
          <w:rFonts w:ascii="Arial" w:hAnsi="Arial" w:cs="Arial"/>
        </w:rPr>
        <w:t xml:space="preserve">One in four households (20.8%) in Kendal LAP </w:t>
      </w:r>
      <w:proofErr w:type="gramStart"/>
      <w:r>
        <w:rPr>
          <w:rFonts w:ascii="Arial" w:hAnsi="Arial" w:cs="Arial"/>
        </w:rPr>
        <w:t>do</w:t>
      </w:r>
      <w:proofErr w:type="gramEnd"/>
      <w:r>
        <w:rPr>
          <w:rFonts w:ascii="Arial" w:hAnsi="Arial" w:cs="Arial"/>
        </w:rPr>
        <w:t xml:space="preserve"> not own a car or van, compared to 15.3% at district level. This is likely to be down to the urban nature of most of the LAP, where a vehicle may not be vital to mobility. 73.2% own one or two vehicles.</w:t>
      </w:r>
    </w:p>
    <w:p w:rsidR="00E54F5F" w:rsidRDefault="00E54F5F" w:rsidP="000E782F">
      <w:pPr>
        <w:pStyle w:val="NoSpacing"/>
        <w:rPr>
          <w:rFonts w:ascii="Arial" w:hAnsi="Arial" w:cs="Arial"/>
        </w:rPr>
      </w:pPr>
    </w:p>
    <w:p w:rsidR="00A74223" w:rsidRDefault="00A74223" w:rsidP="000E782F">
      <w:pPr>
        <w:pStyle w:val="NoSpacing"/>
        <w:rPr>
          <w:rFonts w:ascii="Arial" w:hAnsi="Arial" w:cs="Arial"/>
        </w:rPr>
      </w:pPr>
      <w:r>
        <w:rPr>
          <w:rFonts w:ascii="Arial" w:hAnsi="Arial" w:cs="Arial"/>
        </w:rPr>
        <w:t xml:space="preserve">Nearly all households in Kendal LAP (96.2%) have central heating, with gas (81.2%) being the preferred means of supply. However, 15.5% of households are considered to be in fuel poverty. A household is considered to be in fuel poverty if it needs to spend more than 10% of income on fuel to maintain an adequate heating regime. This proportion is lower than that of South Lakeland, which stands at 23.2%. Burneside parish has the highest proportion of households in fuel poverty, with one in five (21.6%) households considered to be fuel poor. </w:t>
      </w:r>
    </w:p>
    <w:p w:rsidR="0033211D" w:rsidRDefault="0033211D" w:rsidP="000E782F">
      <w:pPr>
        <w:pStyle w:val="NoSpacing"/>
        <w:rPr>
          <w:rFonts w:ascii="Arial" w:hAnsi="Arial" w:cs="Arial"/>
        </w:rPr>
      </w:pPr>
    </w:p>
    <w:p w:rsidR="0033211D" w:rsidRDefault="0033211D" w:rsidP="000E782F">
      <w:pPr>
        <w:pStyle w:val="NoSpacing"/>
        <w:rPr>
          <w:rFonts w:ascii="Arial" w:hAnsi="Arial" w:cs="Arial"/>
        </w:rPr>
      </w:pPr>
    </w:p>
    <w:p w:rsidR="0033211D" w:rsidRDefault="0033211D" w:rsidP="005328D1">
      <w:pPr>
        <w:pStyle w:val="NoSpacing"/>
        <w:outlineLvl w:val="0"/>
        <w:rPr>
          <w:rFonts w:ascii="Arial" w:hAnsi="Arial" w:cs="Arial"/>
          <w:b/>
          <w:color w:val="4F81BD" w:themeColor="accent1"/>
          <w:sz w:val="28"/>
        </w:rPr>
      </w:pPr>
      <w:bookmarkStart w:id="8" w:name="_Toc364152053"/>
      <w:r>
        <w:rPr>
          <w:rFonts w:ascii="Arial" w:hAnsi="Arial" w:cs="Arial"/>
          <w:b/>
          <w:color w:val="4F81BD" w:themeColor="accent1"/>
          <w:sz w:val="28"/>
        </w:rPr>
        <w:t>Qualifications</w:t>
      </w:r>
      <w:bookmarkEnd w:id="8"/>
    </w:p>
    <w:p w:rsidR="00612B81" w:rsidRDefault="00612B81" w:rsidP="000E782F">
      <w:pPr>
        <w:pStyle w:val="NoSpacing"/>
        <w:rPr>
          <w:rFonts w:ascii="Arial" w:hAnsi="Arial" w:cs="Arial"/>
        </w:rPr>
      </w:pPr>
    </w:p>
    <w:p w:rsidR="00612B81" w:rsidRDefault="00612B81" w:rsidP="000E782F">
      <w:pPr>
        <w:pStyle w:val="NoSpacing"/>
        <w:rPr>
          <w:rFonts w:ascii="Arial" w:hAnsi="Arial" w:cs="Arial"/>
        </w:rPr>
      </w:pPr>
      <w:r>
        <w:rPr>
          <w:rFonts w:ascii="Arial" w:hAnsi="Arial" w:cs="Arial"/>
        </w:rPr>
        <w:t xml:space="preserve">29.1% of residents aged over 16 years old in Kendal LAP are qualified up to and above level 4 (Masters, Degree, Diploma, Certificate of Higher Education etc). 12.5% are educated up to level 3 (A/AS level), 16.2% up to level 2 (GCSEs at grades A*-C), and 13.1% up to level 1 (GCSEs at grades D-G). 4.2% are qualified as an apprentice, while 21% have no formal qualifications. When compared to South Lakeland as a whole, there are lower proportions of residents qualified up to and above level 4 and residents with no qualifications, and slightly higher proportions of residents qualified up to levels 1, 2, and 3. </w:t>
      </w:r>
    </w:p>
    <w:p w:rsidR="00612B81" w:rsidRDefault="00612B81" w:rsidP="000E782F">
      <w:pPr>
        <w:pStyle w:val="NoSpacing"/>
        <w:rPr>
          <w:rFonts w:ascii="Arial" w:hAnsi="Arial" w:cs="Arial"/>
        </w:rPr>
      </w:pPr>
    </w:p>
    <w:p w:rsidR="00612B81" w:rsidRPr="00612B81" w:rsidRDefault="009C47D0" w:rsidP="000E782F">
      <w:pPr>
        <w:pStyle w:val="NoSpacing"/>
        <w:rPr>
          <w:rFonts w:ascii="Arial" w:hAnsi="Arial" w:cs="Arial"/>
        </w:rPr>
      </w:pPr>
      <w:r>
        <w:rPr>
          <w:noProof/>
          <w:lang w:eastAsia="en-GB"/>
        </w:rPr>
        <w:lastRenderedPageBreak/>
        <w:drawing>
          <wp:inline distT="0" distB="0" distL="0" distR="0" wp14:anchorId="0B4E9B1F" wp14:editId="61A1BD8A">
            <wp:extent cx="5991225" cy="29337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54F5F" w:rsidRDefault="00E54F5F" w:rsidP="000E782F">
      <w:pPr>
        <w:pStyle w:val="NoSpacing"/>
        <w:rPr>
          <w:rFonts w:ascii="Arial" w:hAnsi="Arial" w:cs="Arial"/>
        </w:rPr>
      </w:pPr>
    </w:p>
    <w:p w:rsidR="00612B81" w:rsidRDefault="00612B81" w:rsidP="000E782F">
      <w:pPr>
        <w:pStyle w:val="NoSpacing"/>
        <w:rPr>
          <w:rFonts w:ascii="Arial" w:hAnsi="Arial" w:cs="Arial"/>
        </w:rPr>
      </w:pPr>
    </w:p>
    <w:p w:rsidR="00CF1C28" w:rsidRDefault="00CF1C28" w:rsidP="005328D1">
      <w:pPr>
        <w:pStyle w:val="NoSpacing"/>
        <w:outlineLvl w:val="0"/>
        <w:rPr>
          <w:rFonts w:ascii="Arial" w:hAnsi="Arial" w:cs="Arial"/>
          <w:b/>
          <w:color w:val="4F81BD" w:themeColor="accent1"/>
          <w:sz w:val="28"/>
        </w:rPr>
      </w:pPr>
      <w:bookmarkStart w:id="9" w:name="_Toc364152054"/>
      <w:r>
        <w:rPr>
          <w:rFonts w:ascii="Arial" w:hAnsi="Arial" w:cs="Arial"/>
          <w:b/>
          <w:color w:val="4F81BD" w:themeColor="accent1"/>
          <w:sz w:val="28"/>
        </w:rPr>
        <w:t>Employment &amp; Business Environment</w:t>
      </w:r>
      <w:bookmarkEnd w:id="9"/>
    </w:p>
    <w:p w:rsidR="00CF1C28" w:rsidRDefault="00CF1C28" w:rsidP="000E782F">
      <w:pPr>
        <w:pStyle w:val="NoSpacing"/>
        <w:rPr>
          <w:rFonts w:ascii="Arial" w:hAnsi="Arial" w:cs="Arial"/>
        </w:rPr>
      </w:pPr>
    </w:p>
    <w:p w:rsidR="00CF1C28" w:rsidRDefault="00CF1C28" w:rsidP="000E782F">
      <w:pPr>
        <w:pStyle w:val="NoSpacing"/>
        <w:rPr>
          <w:rFonts w:ascii="Arial" w:hAnsi="Arial" w:cs="Arial"/>
        </w:rPr>
      </w:pPr>
      <w:r>
        <w:rPr>
          <w:rFonts w:ascii="Arial" w:hAnsi="Arial" w:cs="Arial"/>
        </w:rPr>
        <w:t xml:space="preserve">Residents between the ages of 16 and 74 are considered to be of working age in the 2011 Census, and are referred to as the working age population (this has increased from 16-64 years old in the previous 2001 Census). </w:t>
      </w:r>
    </w:p>
    <w:p w:rsidR="00CF1C28" w:rsidRDefault="00CF1C28" w:rsidP="000E782F">
      <w:pPr>
        <w:pStyle w:val="NoSpacing"/>
        <w:rPr>
          <w:rFonts w:ascii="Arial" w:hAnsi="Arial" w:cs="Arial"/>
        </w:rPr>
      </w:pPr>
    </w:p>
    <w:p w:rsidR="00CF1C28" w:rsidRDefault="00AE2A27" w:rsidP="000E782F">
      <w:pPr>
        <w:pStyle w:val="NoSpacing"/>
        <w:rPr>
          <w:rFonts w:ascii="Arial" w:hAnsi="Arial" w:cs="Arial"/>
        </w:rPr>
      </w:pPr>
      <w:r>
        <w:rPr>
          <w:rFonts w:ascii="Arial" w:hAnsi="Arial" w:cs="Arial"/>
        </w:rPr>
        <w:t xml:space="preserve">In 2011 there were 22,064 residents of working age in Kendal LAP. 74.3% of these residents are classed as ‘Economically Active’. This is defined as residents either in employment or actively seeking employment. 40.8% of the working age population were in full-time employment, 17.9% were in part-time employment, and 10.4% were self-employed. 2.2% were unemployed and 3% were full-time students. In comparison with South Lakeland, there are higher proportions of both full-time and part-time employees, and a lower proportion of self-employed residents. Kendal Parks ward </w:t>
      </w:r>
      <w:r w:rsidR="009C47D0">
        <w:rPr>
          <w:rFonts w:ascii="Arial" w:hAnsi="Arial" w:cs="Arial"/>
        </w:rPr>
        <w:t>has the highest proportion of economically active residents (78.7%), with Heron Hill ward having the lowest (70.1%).</w:t>
      </w:r>
    </w:p>
    <w:p w:rsidR="00910E1D" w:rsidRDefault="00910E1D" w:rsidP="000E782F">
      <w:pPr>
        <w:pStyle w:val="NoSpacing"/>
        <w:rPr>
          <w:rFonts w:ascii="Arial" w:hAnsi="Arial" w:cs="Arial"/>
        </w:rPr>
      </w:pPr>
    </w:p>
    <w:p w:rsidR="00910E1D" w:rsidRPr="00910E1D" w:rsidRDefault="00910E1D" w:rsidP="000E782F">
      <w:pPr>
        <w:pStyle w:val="NoSpacing"/>
        <w:rPr>
          <w:rFonts w:ascii="Arial" w:hAnsi="Arial" w:cs="Arial"/>
          <w:b/>
        </w:rPr>
      </w:pPr>
      <w:r>
        <w:rPr>
          <w:rFonts w:ascii="Arial" w:hAnsi="Arial" w:cs="Arial"/>
          <w:b/>
        </w:rPr>
        <w:t>Economically Active</w:t>
      </w:r>
    </w:p>
    <w:p w:rsidR="009C47D0" w:rsidRDefault="009C47D0" w:rsidP="000E782F">
      <w:pPr>
        <w:pStyle w:val="NoSpacing"/>
        <w:rPr>
          <w:rFonts w:ascii="Arial" w:hAnsi="Arial" w:cs="Arial"/>
        </w:rPr>
      </w:pPr>
    </w:p>
    <w:p w:rsidR="009C47D0" w:rsidRDefault="009C47D0" w:rsidP="000E782F">
      <w:pPr>
        <w:pStyle w:val="NoSpacing"/>
        <w:rPr>
          <w:rFonts w:ascii="Arial" w:hAnsi="Arial" w:cs="Arial"/>
        </w:rPr>
      </w:pPr>
      <w:r>
        <w:rPr>
          <w:noProof/>
          <w:lang w:eastAsia="en-GB"/>
        </w:rPr>
        <w:drawing>
          <wp:inline distT="0" distB="0" distL="0" distR="0" wp14:anchorId="33AA3282" wp14:editId="23608284">
            <wp:extent cx="5734050" cy="27622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74C7" w:rsidRDefault="002E5A2A" w:rsidP="000E782F">
      <w:pPr>
        <w:pStyle w:val="NoSpacing"/>
        <w:rPr>
          <w:rFonts w:ascii="Arial" w:hAnsi="Arial" w:cs="Arial"/>
        </w:rPr>
      </w:pPr>
      <w:r>
        <w:rPr>
          <w:rFonts w:ascii="Arial" w:hAnsi="Arial" w:cs="Arial"/>
        </w:rPr>
        <w:lastRenderedPageBreak/>
        <w:t xml:space="preserve">25.7% of the working age population in Kendal LAP are classed as ‘Economically Inactive’. This is defined as residents not in employment or actively seeking employment. 16.9% were retired, 2.3% were students, 2.2% were looking after the home and/or family, and 3.1% were long-term sick or disabled. When compared to South Lakeland as a whole, the LAP has lower proportion of retired residents (of working age). </w:t>
      </w:r>
      <w:r w:rsidR="00910E1D">
        <w:rPr>
          <w:rFonts w:ascii="Arial" w:hAnsi="Arial" w:cs="Arial"/>
        </w:rPr>
        <w:t>Kendal Heron Hill ward has the highest proportion of economically inactive residents (29.9%), while Kendal Parks ward has the lowest (21.3%).</w:t>
      </w:r>
    </w:p>
    <w:p w:rsidR="009C47D0" w:rsidRDefault="009C47D0" w:rsidP="000E782F">
      <w:pPr>
        <w:pStyle w:val="NoSpacing"/>
        <w:rPr>
          <w:rFonts w:ascii="Arial" w:hAnsi="Arial" w:cs="Arial"/>
        </w:rPr>
      </w:pPr>
    </w:p>
    <w:p w:rsidR="00910E1D" w:rsidRPr="00910E1D" w:rsidRDefault="00910E1D" w:rsidP="000E782F">
      <w:pPr>
        <w:pStyle w:val="NoSpacing"/>
        <w:rPr>
          <w:rFonts w:ascii="Arial" w:hAnsi="Arial" w:cs="Arial"/>
          <w:b/>
        </w:rPr>
      </w:pPr>
      <w:r>
        <w:rPr>
          <w:rFonts w:ascii="Arial" w:hAnsi="Arial" w:cs="Arial"/>
          <w:b/>
        </w:rPr>
        <w:t>Economically Inactive</w:t>
      </w:r>
    </w:p>
    <w:p w:rsidR="00910E1D" w:rsidRDefault="00910E1D" w:rsidP="000E782F">
      <w:pPr>
        <w:pStyle w:val="NoSpacing"/>
        <w:rPr>
          <w:rFonts w:ascii="Arial" w:hAnsi="Arial" w:cs="Arial"/>
        </w:rPr>
      </w:pPr>
      <w:r>
        <w:rPr>
          <w:noProof/>
          <w:lang w:eastAsia="en-GB"/>
        </w:rPr>
        <w:drawing>
          <wp:inline distT="0" distB="0" distL="0" distR="0" wp14:anchorId="4F19DA09" wp14:editId="2DCE63D6">
            <wp:extent cx="5781675"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7C2D" w:rsidRDefault="00567C2D" w:rsidP="000E782F">
      <w:pPr>
        <w:pStyle w:val="NoSpacing"/>
        <w:rPr>
          <w:rFonts w:ascii="Arial" w:hAnsi="Arial" w:cs="Arial"/>
        </w:rPr>
      </w:pPr>
    </w:p>
    <w:p w:rsidR="00567C2D" w:rsidRDefault="00567C2D" w:rsidP="000E782F">
      <w:pPr>
        <w:pStyle w:val="NoSpacing"/>
        <w:rPr>
          <w:rFonts w:ascii="Arial" w:hAnsi="Arial" w:cs="Arial"/>
        </w:rPr>
      </w:pPr>
      <w:r>
        <w:rPr>
          <w:rFonts w:ascii="Arial" w:hAnsi="Arial" w:cs="Arial"/>
        </w:rPr>
        <w:t xml:space="preserve">The top five industries of employment in Kendal LAP are; Wholesale, Retail &amp; Vehicle Repair (22%), Human Health &amp; Social Work (12.5%), Manufacturing (9.9%), Education (9.8%), and Construction (8.8%). </w:t>
      </w:r>
      <w:r w:rsidR="004C05BA">
        <w:rPr>
          <w:rFonts w:ascii="Arial" w:hAnsi="Arial" w:cs="Arial"/>
        </w:rPr>
        <w:t xml:space="preserve">All these sectors, apart from construction, are also in the top five industries of employment in South Lakeland as a whole. </w:t>
      </w:r>
    </w:p>
    <w:p w:rsidR="004C05BA" w:rsidRDefault="004C05BA" w:rsidP="000E782F">
      <w:pPr>
        <w:pStyle w:val="NoSpacing"/>
        <w:rPr>
          <w:rFonts w:ascii="Arial" w:hAnsi="Arial" w:cs="Arial"/>
        </w:rPr>
      </w:pPr>
    </w:p>
    <w:p w:rsidR="004C05BA" w:rsidRPr="00CF1C28" w:rsidRDefault="004C05BA" w:rsidP="000E782F">
      <w:pPr>
        <w:pStyle w:val="NoSpacing"/>
        <w:rPr>
          <w:rFonts w:ascii="Arial" w:hAnsi="Arial" w:cs="Arial"/>
        </w:rPr>
      </w:pPr>
      <w:r>
        <w:rPr>
          <w:noProof/>
          <w:lang w:eastAsia="en-GB"/>
        </w:rPr>
        <w:drawing>
          <wp:inline distT="0" distB="0" distL="0" distR="0" wp14:anchorId="4F475C67" wp14:editId="7FB0C6F0">
            <wp:extent cx="5728335" cy="3705225"/>
            <wp:effectExtent l="0" t="0" r="571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796D" w:rsidRDefault="00D14CB1" w:rsidP="00A4653C">
      <w:pPr>
        <w:pStyle w:val="NoSpacing"/>
        <w:rPr>
          <w:rFonts w:ascii="Arial" w:hAnsi="Arial" w:cs="Arial"/>
        </w:rPr>
      </w:pPr>
      <w:r>
        <w:rPr>
          <w:rFonts w:ascii="Arial" w:hAnsi="Arial" w:cs="Arial"/>
        </w:rPr>
        <w:lastRenderedPageBreak/>
        <w:t xml:space="preserve">When looking at the occupations of the working age residents of Kendal LAP, the top three are Professional (14.5%), Skilled Trades (13.8%), and Elementary Occupations (13%). When compared to South Lakeland, there </w:t>
      </w:r>
      <w:r w:rsidR="008A4075">
        <w:rPr>
          <w:rFonts w:ascii="Arial" w:hAnsi="Arial" w:cs="Arial"/>
        </w:rPr>
        <w:t>are</w:t>
      </w:r>
      <w:r>
        <w:rPr>
          <w:rFonts w:ascii="Arial" w:hAnsi="Arial" w:cs="Arial"/>
        </w:rPr>
        <w:t xml:space="preserve"> a larger proportion of residents in Elementary </w:t>
      </w:r>
      <w:r w:rsidR="008D3A51">
        <w:rPr>
          <w:rFonts w:ascii="Arial" w:hAnsi="Arial" w:cs="Arial"/>
        </w:rPr>
        <w:t>occupations</w:t>
      </w:r>
      <w:r>
        <w:rPr>
          <w:rFonts w:ascii="Arial" w:hAnsi="Arial" w:cs="Arial"/>
        </w:rPr>
        <w:t xml:space="preserve"> in the LAP, while the other two are also </w:t>
      </w:r>
      <w:r w:rsidR="008D3A51">
        <w:rPr>
          <w:rFonts w:ascii="Arial" w:hAnsi="Arial" w:cs="Arial"/>
        </w:rPr>
        <w:t xml:space="preserve">in the top three in the district as a whole. </w:t>
      </w:r>
    </w:p>
    <w:p w:rsidR="008A4075" w:rsidRDefault="008A4075" w:rsidP="00A4653C">
      <w:pPr>
        <w:pStyle w:val="NoSpacing"/>
        <w:rPr>
          <w:rFonts w:ascii="Arial" w:hAnsi="Arial" w:cs="Arial"/>
        </w:rPr>
      </w:pPr>
    </w:p>
    <w:p w:rsidR="008A4075" w:rsidRDefault="008A4075" w:rsidP="00A4653C">
      <w:pPr>
        <w:pStyle w:val="NoSpacing"/>
        <w:rPr>
          <w:rFonts w:ascii="Arial" w:hAnsi="Arial" w:cs="Arial"/>
        </w:rPr>
      </w:pPr>
      <w:r>
        <w:rPr>
          <w:noProof/>
          <w:lang w:eastAsia="en-GB"/>
        </w:rPr>
        <w:drawing>
          <wp:inline distT="0" distB="0" distL="0" distR="0" wp14:anchorId="2BBA995B" wp14:editId="3099F7C0">
            <wp:extent cx="5867400" cy="22574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18F3" w:rsidRDefault="00B318F3" w:rsidP="00A4653C">
      <w:pPr>
        <w:pStyle w:val="NoSpacing"/>
        <w:rPr>
          <w:rFonts w:ascii="Arial" w:hAnsi="Arial" w:cs="Arial"/>
        </w:rPr>
      </w:pPr>
    </w:p>
    <w:p w:rsidR="00B318F3" w:rsidRDefault="00B318F3" w:rsidP="00A4653C">
      <w:pPr>
        <w:pStyle w:val="NoSpacing"/>
        <w:rPr>
          <w:rFonts w:ascii="Arial" w:hAnsi="Arial" w:cs="Arial"/>
        </w:rPr>
      </w:pPr>
      <w:r>
        <w:rPr>
          <w:rFonts w:ascii="Arial" w:hAnsi="Arial" w:cs="Arial"/>
        </w:rPr>
        <w:t xml:space="preserve">There are a number of business enterprises situated in the Kendal LAP area. The following table shows the ten largest businesses situated in the LAP in order of the rate of Non-Domestic Rate each business pays. </w:t>
      </w:r>
    </w:p>
    <w:p w:rsidR="00786FB9" w:rsidRDefault="00786FB9" w:rsidP="00A4653C">
      <w:pPr>
        <w:pStyle w:val="NoSpacing"/>
        <w:rPr>
          <w:rFonts w:ascii="Arial" w:hAnsi="Arial" w:cs="Arial"/>
        </w:rPr>
      </w:pPr>
    </w:p>
    <w:tbl>
      <w:tblPr>
        <w:tblStyle w:val="TableGrid"/>
        <w:tblW w:w="0" w:type="auto"/>
        <w:tblLook w:val="04A0" w:firstRow="1" w:lastRow="0" w:firstColumn="1" w:lastColumn="0" w:noHBand="0" w:noVBand="1"/>
      </w:tblPr>
      <w:tblGrid>
        <w:gridCol w:w="2501"/>
        <w:gridCol w:w="2247"/>
        <w:gridCol w:w="2247"/>
        <w:gridCol w:w="2247"/>
      </w:tblGrid>
      <w:tr w:rsidR="00786FB9" w:rsidRPr="0058065F" w:rsidTr="003C3B06">
        <w:trPr>
          <w:trHeight w:val="320"/>
        </w:trPr>
        <w:tc>
          <w:tcPr>
            <w:tcW w:w="2501" w:type="dxa"/>
            <w:shd w:val="clear" w:color="auto" w:fill="4F81BD" w:themeFill="accent1"/>
            <w:vAlign w:val="center"/>
          </w:tcPr>
          <w:p w:rsidR="00786FB9" w:rsidRPr="0058065F" w:rsidRDefault="00786FB9" w:rsidP="003C3B06">
            <w:pPr>
              <w:pStyle w:val="NoSpacing"/>
              <w:rPr>
                <w:rFonts w:ascii="Arial" w:hAnsi="Arial" w:cs="Arial"/>
                <w:b/>
                <w:color w:val="FFFFFF" w:themeColor="background1"/>
              </w:rPr>
            </w:pPr>
            <w:r w:rsidRPr="0058065F">
              <w:rPr>
                <w:rFonts w:ascii="Arial" w:hAnsi="Arial" w:cs="Arial"/>
                <w:b/>
                <w:color w:val="FFFFFF" w:themeColor="background1"/>
              </w:rPr>
              <w:t>Business</w:t>
            </w:r>
          </w:p>
        </w:tc>
        <w:tc>
          <w:tcPr>
            <w:tcW w:w="2247" w:type="dxa"/>
            <w:shd w:val="clear" w:color="auto" w:fill="4F81BD" w:themeFill="accent1"/>
            <w:vAlign w:val="center"/>
          </w:tcPr>
          <w:p w:rsidR="00786FB9" w:rsidRPr="0058065F" w:rsidRDefault="00786FB9" w:rsidP="003C3B06">
            <w:pPr>
              <w:pStyle w:val="NoSpacing"/>
              <w:rPr>
                <w:rFonts w:ascii="Arial" w:hAnsi="Arial" w:cs="Arial"/>
                <w:b/>
                <w:color w:val="FFFFFF" w:themeColor="background1"/>
              </w:rPr>
            </w:pPr>
            <w:r w:rsidRPr="0058065F">
              <w:rPr>
                <w:rFonts w:ascii="Arial" w:hAnsi="Arial" w:cs="Arial"/>
                <w:b/>
                <w:color w:val="FFFFFF" w:themeColor="background1"/>
              </w:rPr>
              <w:t>Type of Business</w:t>
            </w:r>
          </w:p>
        </w:tc>
        <w:tc>
          <w:tcPr>
            <w:tcW w:w="2247" w:type="dxa"/>
            <w:shd w:val="clear" w:color="auto" w:fill="4F81BD" w:themeFill="accent1"/>
            <w:vAlign w:val="center"/>
          </w:tcPr>
          <w:p w:rsidR="00786FB9" w:rsidRPr="0058065F" w:rsidRDefault="00D57818" w:rsidP="003C3B06">
            <w:pPr>
              <w:pStyle w:val="NoSpacing"/>
              <w:rPr>
                <w:rFonts w:ascii="Arial" w:hAnsi="Arial" w:cs="Arial"/>
                <w:b/>
                <w:color w:val="FFFFFF" w:themeColor="background1"/>
              </w:rPr>
            </w:pPr>
            <w:r>
              <w:rPr>
                <w:rFonts w:ascii="Arial" w:hAnsi="Arial" w:cs="Arial"/>
                <w:b/>
                <w:color w:val="FFFFFF" w:themeColor="background1"/>
              </w:rPr>
              <w:t>Ward</w:t>
            </w:r>
          </w:p>
        </w:tc>
        <w:tc>
          <w:tcPr>
            <w:tcW w:w="2247" w:type="dxa"/>
            <w:shd w:val="clear" w:color="auto" w:fill="4F81BD" w:themeFill="accent1"/>
            <w:vAlign w:val="center"/>
          </w:tcPr>
          <w:p w:rsidR="00786FB9" w:rsidRPr="0058065F" w:rsidRDefault="00786FB9" w:rsidP="003C3B06">
            <w:pPr>
              <w:pStyle w:val="NoSpacing"/>
              <w:rPr>
                <w:rFonts w:ascii="Arial" w:hAnsi="Arial" w:cs="Arial"/>
                <w:b/>
                <w:color w:val="FFFFFF" w:themeColor="background1"/>
              </w:rPr>
            </w:pPr>
            <w:r w:rsidRPr="0058065F">
              <w:rPr>
                <w:rFonts w:ascii="Arial" w:hAnsi="Arial" w:cs="Arial"/>
                <w:b/>
                <w:color w:val="FFFFFF" w:themeColor="background1"/>
              </w:rPr>
              <w:t>Location</w:t>
            </w:r>
          </w:p>
        </w:tc>
      </w:tr>
      <w:tr w:rsidR="00786FB9" w:rsidRPr="009951BF" w:rsidTr="003C3B06">
        <w:trPr>
          <w:trHeight w:val="506"/>
        </w:trPr>
        <w:tc>
          <w:tcPr>
            <w:tcW w:w="2501" w:type="dxa"/>
            <w:vAlign w:val="center"/>
          </w:tcPr>
          <w:p w:rsidR="00786FB9" w:rsidRPr="009951BF" w:rsidRDefault="00501C58" w:rsidP="003C3B06">
            <w:pPr>
              <w:pStyle w:val="NoSpacing"/>
              <w:rPr>
                <w:rFonts w:ascii="Arial" w:hAnsi="Arial" w:cs="Arial"/>
              </w:rPr>
            </w:pPr>
            <w:r>
              <w:rPr>
                <w:rFonts w:ascii="Arial" w:hAnsi="Arial" w:cs="Arial"/>
              </w:rPr>
              <w:t xml:space="preserve">ASDA </w:t>
            </w:r>
          </w:p>
        </w:tc>
        <w:tc>
          <w:tcPr>
            <w:tcW w:w="2247" w:type="dxa"/>
            <w:vAlign w:val="center"/>
          </w:tcPr>
          <w:p w:rsidR="00786FB9" w:rsidRPr="009951BF" w:rsidRDefault="00501C58" w:rsidP="003C3B06">
            <w:pPr>
              <w:pStyle w:val="NoSpacing"/>
              <w:rPr>
                <w:rFonts w:ascii="Arial" w:hAnsi="Arial" w:cs="Arial"/>
              </w:rPr>
            </w:pPr>
            <w:r>
              <w:rPr>
                <w:rFonts w:ascii="Arial" w:hAnsi="Arial" w:cs="Arial"/>
              </w:rPr>
              <w:t>Supermarket</w:t>
            </w:r>
          </w:p>
        </w:tc>
        <w:tc>
          <w:tcPr>
            <w:tcW w:w="2247" w:type="dxa"/>
            <w:vAlign w:val="center"/>
          </w:tcPr>
          <w:p w:rsidR="00786FB9" w:rsidRPr="009951BF" w:rsidRDefault="00D57818" w:rsidP="003C3B06">
            <w:pPr>
              <w:pStyle w:val="NoSpacing"/>
              <w:rPr>
                <w:rFonts w:ascii="Arial" w:hAnsi="Arial" w:cs="Arial"/>
              </w:rPr>
            </w:pPr>
            <w:r>
              <w:rPr>
                <w:rFonts w:ascii="Arial" w:hAnsi="Arial" w:cs="Arial"/>
              </w:rPr>
              <w:t>Kendal Oxenholme &amp; Natland</w:t>
            </w:r>
          </w:p>
        </w:tc>
        <w:tc>
          <w:tcPr>
            <w:tcW w:w="2247" w:type="dxa"/>
            <w:vAlign w:val="center"/>
          </w:tcPr>
          <w:p w:rsidR="00786FB9" w:rsidRPr="009951BF" w:rsidRDefault="00D57818" w:rsidP="003C3B06">
            <w:pPr>
              <w:pStyle w:val="NoSpacing"/>
              <w:rPr>
                <w:rFonts w:ascii="Arial" w:hAnsi="Arial" w:cs="Arial"/>
              </w:rPr>
            </w:pPr>
            <w:r>
              <w:rPr>
                <w:rFonts w:ascii="Arial" w:hAnsi="Arial" w:cs="Arial"/>
              </w:rPr>
              <w:t>Burton Road, Kendal</w:t>
            </w:r>
          </w:p>
        </w:tc>
      </w:tr>
      <w:tr w:rsidR="00786FB9" w:rsidRPr="009951BF" w:rsidTr="003C3B06">
        <w:trPr>
          <w:trHeight w:val="506"/>
        </w:trPr>
        <w:tc>
          <w:tcPr>
            <w:tcW w:w="2501" w:type="dxa"/>
            <w:vAlign w:val="center"/>
          </w:tcPr>
          <w:p w:rsidR="00786FB9" w:rsidRPr="009951BF" w:rsidRDefault="00A367F0" w:rsidP="003C3B06">
            <w:pPr>
              <w:pStyle w:val="NoSpacing"/>
              <w:rPr>
                <w:rFonts w:ascii="Arial" w:hAnsi="Arial" w:cs="Arial"/>
              </w:rPr>
            </w:pPr>
            <w:r>
              <w:rPr>
                <w:rFonts w:ascii="Arial" w:hAnsi="Arial" w:cs="Arial"/>
              </w:rPr>
              <w:t xml:space="preserve">Westmorland General Hospital </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 xml:space="preserve">Hospital </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Kendal Oxenholme &amp; Natland</w:t>
            </w:r>
          </w:p>
        </w:tc>
        <w:tc>
          <w:tcPr>
            <w:tcW w:w="2247" w:type="dxa"/>
            <w:vAlign w:val="center"/>
          </w:tcPr>
          <w:p w:rsidR="00A367F0" w:rsidRPr="009951BF" w:rsidRDefault="00A367F0" w:rsidP="003C3B06">
            <w:pPr>
              <w:pStyle w:val="NoSpacing"/>
              <w:rPr>
                <w:rFonts w:ascii="Arial" w:hAnsi="Arial" w:cs="Arial"/>
              </w:rPr>
            </w:pPr>
            <w:r>
              <w:rPr>
                <w:rFonts w:ascii="Arial" w:hAnsi="Arial" w:cs="Arial"/>
              </w:rPr>
              <w:t>Burton Road, Kendal</w:t>
            </w:r>
          </w:p>
        </w:tc>
      </w:tr>
      <w:tr w:rsidR="00786FB9" w:rsidRPr="009951BF" w:rsidTr="003C3B06">
        <w:trPr>
          <w:trHeight w:val="506"/>
        </w:trPr>
        <w:tc>
          <w:tcPr>
            <w:tcW w:w="2501" w:type="dxa"/>
            <w:vAlign w:val="center"/>
          </w:tcPr>
          <w:p w:rsidR="00786FB9" w:rsidRPr="009951BF" w:rsidRDefault="00A367F0" w:rsidP="003C3B06">
            <w:pPr>
              <w:pStyle w:val="NoSpacing"/>
              <w:rPr>
                <w:rFonts w:ascii="Arial" w:hAnsi="Arial" w:cs="Arial"/>
              </w:rPr>
            </w:pPr>
            <w:r>
              <w:rPr>
                <w:rFonts w:ascii="Arial" w:hAnsi="Arial" w:cs="Arial"/>
              </w:rPr>
              <w:t xml:space="preserve">Morrisons </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Supermarket</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Kendal Mintsfeet</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Queen Katherine’s Avenue, Kendal</w:t>
            </w:r>
          </w:p>
        </w:tc>
      </w:tr>
      <w:tr w:rsidR="00786FB9" w:rsidRPr="009951BF" w:rsidTr="003C3B06">
        <w:trPr>
          <w:trHeight w:val="506"/>
        </w:trPr>
        <w:tc>
          <w:tcPr>
            <w:tcW w:w="2501" w:type="dxa"/>
            <w:vAlign w:val="center"/>
          </w:tcPr>
          <w:p w:rsidR="00786FB9" w:rsidRPr="009951BF" w:rsidRDefault="00A367F0" w:rsidP="003C3B06">
            <w:pPr>
              <w:pStyle w:val="NoSpacing"/>
              <w:rPr>
                <w:rFonts w:ascii="Arial" w:hAnsi="Arial" w:cs="Arial"/>
              </w:rPr>
            </w:pPr>
            <w:r>
              <w:rPr>
                <w:rFonts w:ascii="Arial" w:hAnsi="Arial" w:cs="Arial"/>
              </w:rPr>
              <w:t>James Cropper Speciality Papers Ltd</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Paper Mill</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Burneside</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 xml:space="preserve">Burneside Mills, Burneside </w:t>
            </w:r>
          </w:p>
        </w:tc>
      </w:tr>
      <w:tr w:rsidR="00786FB9" w:rsidRPr="009951BF" w:rsidTr="003C3B06">
        <w:trPr>
          <w:trHeight w:val="506"/>
        </w:trPr>
        <w:tc>
          <w:tcPr>
            <w:tcW w:w="2501" w:type="dxa"/>
            <w:vAlign w:val="center"/>
          </w:tcPr>
          <w:p w:rsidR="00786FB9" w:rsidRPr="009951BF" w:rsidRDefault="00A367F0" w:rsidP="003C3B06">
            <w:pPr>
              <w:pStyle w:val="NoSpacing"/>
              <w:rPr>
                <w:rFonts w:ascii="Arial" w:hAnsi="Arial" w:cs="Arial"/>
              </w:rPr>
            </w:pPr>
            <w:r>
              <w:rPr>
                <w:rFonts w:ascii="Arial" w:hAnsi="Arial" w:cs="Arial"/>
              </w:rPr>
              <w:t>Booths</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Supermarket</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Kendal Fell</w:t>
            </w:r>
          </w:p>
        </w:tc>
        <w:tc>
          <w:tcPr>
            <w:tcW w:w="2247" w:type="dxa"/>
            <w:vAlign w:val="center"/>
          </w:tcPr>
          <w:p w:rsidR="00786FB9" w:rsidRPr="009951BF" w:rsidRDefault="00A367F0" w:rsidP="003C3B06">
            <w:pPr>
              <w:pStyle w:val="NoSpacing"/>
              <w:rPr>
                <w:rFonts w:ascii="Arial" w:hAnsi="Arial" w:cs="Arial"/>
              </w:rPr>
            </w:pPr>
            <w:r>
              <w:rPr>
                <w:rFonts w:ascii="Arial" w:hAnsi="Arial" w:cs="Arial"/>
              </w:rPr>
              <w:t>Wainwrights Yard, Kendal</w:t>
            </w:r>
          </w:p>
        </w:tc>
      </w:tr>
      <w:tr w:rsidR="00786FB9" w:rsidRPr="009951BF" w:rsidTr="003C3B06">
        <w:trPr>
          <w:trHeight w:val="506"/>
        </w:trPr>
        <w:tc>
          <w:tcPr>
            <w:tcW w:w="2501" w:type="dxa"/>
            <w:vAlign w:val="center"/>
          </w:tcPr>
          <w:p w:rsidR="00786FB9" w:rsidRPr="009951BF" w:rsidRDefault="0005379B" w:rsidP="003C3B06">
            <w:pPr>
              <w:pStyle w:val="NoSpacing"/>
              <w:rPr>
                <w:rFonts w:ascii="Arial" w:hAnsi="Arial" w:cs="Arial"/>
              </w:rPr>
            </w:pPr>
            <w:r>
              <w:rPr>
                <w:rFonts w:ascii="Arial" w:hAnsi="Arial" w:cs="Arial"/>
              </w:rPr>
              <w:t>Lakeland Ltd</w:t>
            </w:r>
          </w:p>
        </w:tc>
        <w:tc>
          <w:tcPr>
            <w:tcW w:w="2247" w:type="dxa"/>
            <w:vAlign w:val="center"/>
          </w:tcPr>
          <w:p w:rsidR="0005379B" w:rsidRPr="009951BF" w:rsidRDefault="0005379B" w:rsidP="0005379B">
            <w:pPr>
              <w:pStyle w:val="NoSpacing"/>
              <w:rPr>
                <w:rFonts w:ascii="Arial" w:hAnsi="Arial" w:cs="Arial"/>
              </w:rPr>
            </w:pPr>
            <w:r>
              <w:rPr>
                <w:rFonts w:ascii="Arial" w:hAnsi="Arial" w:cs="Arial"/>
              </w:rPr>
              <w:t>Household Accessory Distribution Warehouse</w:t>
            </w:r>
          </w:p>
        </w:tc>
        <w:tc>
          <w:tcPr>
            <w:tcW w:w="2247" w:type="dxa"/>
            <w:vAlign w:val="center"/>
          </w:tcPr>
          <w:p w:rsidR="00786FB9" w:rsidRPr="009951BF" w:rsidRDefault="0005379B" w:rsidP="003C3B06">
            <w:pPr>
              <w:pStyle w:val="NoSpacing"/>
              <w:rPr>
                <w:rFonts w:ascii="Arial" w:hAnsi="Arial" w:cs="Arial"/>
              </w:rPr>
            </w:pPr>
            <w:r>
              <w:rPr>
                <w:rFonts w:ascii="Arial" w:hAnsi="Arial" w:cs="Arial"/>
              </w:rPr>
              <w:t>Kendal Mintsfeet</w:t>
            </w:r>
          </w:p>
        </w:tc>
        <w:tc>
          <w:tcPr>
            <w:tcW w:w="2247" w:type="dxa"/>
            <w:vAlign w:val="center"/>
          </w:tcPr>
          <w:p w:rsidR="00786FB9" w:rsidRPr="009951BF" w:rsidRDefault="0005379B" w:rsidP="003C3B06">
            <w:pPr>
              <w:pStyle w:val="NoSpacing"/>
              <w:rPr>
                <w:rFonts w:ascii="Arial" w:hAnsi="Arial" w:cs="Arial"/>
              </w:rPr>
            </w:pPr>
            <w:r>
              <w:rPr>
                <w:rFonts w:ascii="Arial" w:hAnsi="Arial" w:cs="Arial"/>
              </w:rPr>
              <w:t>Westmorland Business Park, Kendal</w:t>
            </w:r>
          </w:p>
        </w:tc>
      </w:tr>
      <w:tr w:rsidR="00786FB9" w:rsidRPr="009951BF" w:rsidTr="003C3B06">
        <w:trPr>
          <w:trHeight w:val="506"/>
        </w:trPr>
        <w:tc>
          <w:tcPr>
            <w:tcW w:w="2501" w:type="dxa"/>
            <w:vAlign w:val="center"/>
          </w:tcPr>
          <w:p w:rsidR="00786FB9" w:rsidRPr="009951BF" w:rsidRDefault="0005379B" w:rsidP="003C3B06">
            <w:pPr>
              <w:pStyle w:val="NoSpacing"/>
              <w:rPr>
                <w:rFonts w:ascii="Arial" w:hAnsi="Arial" w:cs="Arial"/>
              </w:rPr>
            </w:pPr>
            <w:r>
              <w:rPr>
                <w:rFonts w:ascii="Arial" w:hAnsi="Arial" w:cs="Arial"/>
              </w:rPr>
              <w:t>Marks &amp; Spencer</w:t>
            </w:r>
          </w:p>
        </w:tc>
        <w:tc>
          <w:tcPr>
            <w:tcW w:w="2247" w:type="dxa"/>
            <w:vAlign w:val="center"/>
          </w:tcPr>
          <w:p w:rsidR="00786FB9" w:rsidRPr="009951BF" w:rsidRDefault="0005379B" w:rsidP="003C3B06">
            <w:pPr>
              <w:pStyle w:val="NoSpacing"/>
              <w:rPr>
                <w:rFonts w:ascii="Arial" w:hAnsi="Arial" w:cs="Arial"/>
              </w:rPr>
            </w:pPr>
            <w:r>
              <w:rPr>
                <w:rFonts w:ascii="Arial" w:hAnsi="Arial" w:cs="Arial"/>
              </w:rPr>
              <w:t>Supermarket</w:t>
            </w:r>
          </w:p>
        </w:tc>
        <w:tc>
          <w:tcPr>
            <w:tcW w:w="2247" w:type="dxa"/>
            <w:vAlign w:val="center"/>
          </w:tcPr>
          <w:p w:rsidR="00786FB9" w:rsidRPr="009951BF" w:rsidRDefault="0005379B" w:rsidP="003C3B06">
            <w:pPr>
              <w:pStyle w:val="NoSpacing"/>
              <w:rPr>
                <w:rFonts w:ascii="Arial" w:hAnsi="Arial" w:cs="Arial"/>
              </w:rPr>
            </w:pPr>
            <w:r>
              <w:rPr>
                <w:rFonts w:ascii="Arial" w:hAnsi="Arial" w:cs="Arial"/>
              </w:rPr>
              <w:t>Kendal Fell</w:t>
            </w:r>
          </w:p>
        </w:tc>
        <w:tc>
          <w:tcPr>
            <w:tcW w:w="2247" w:type="dxa"/>
            <w:vAlign w:val="center"/>
          </w:tcPr>
          <w:p w:rsidR="00786FB9" w:rsidRPr="009951BF" w:rsidRDefault="0005379B" w:rsidP="003C3B06">
            <w:pPr>
              <w:pStyle w:val="NoSpacing"/>
              <w:rPr>
                <w:rFonts w:ascii="Arial" w:hAnsi="Arial" w:cs="Arial"/>
              </w:rPr>
            </w:pPr>
            <w:r>
              <w:rPr>
                <w:rFonts w:ascii="Arial" w:hAnsi="Arial" w:cs="Arial"/>
              </w:rPr>
              <w:t>Library Road, Kendal</w:t>
            </w:r>
          </w:p>
        </w:tc>
      </w:tr>
      <w:tr w:rsidR="00786FB9" w:rsidRPr="009951BF" w:rsidTr="003C3B06">
        <w:trPr>
          <w:trHeight w:val="506"/>
        </w:trPr>
        <w:tc>
          <w:tcPr>
            <w:tcW w:w="2501" w:type="dxa"/>
            <w:vAlign w:val="center"/>
          </w:tcPr>
          <w:p w:rsidR="00786FB9" w:rsidRPr="009951BF" w:rsidRDefault="0005379B" w:rsidP="003C3B06">
            <w:pPr>
              <w:pStyle w:val="NoSpacing"/>
              <w:rPr>
                <w:rFonts w:ascii="Arial" w:hAnsi="Arial" w:cs="Arial"/>
              </w:rPr>
            </w:pPr>
            <w:r>
              <w:rPr>
                <w:rFonts w:ascii="Arial" w:hAnsi="Arial" w:cs="Arial"/>
              </w:rPr>
              <w:t>Farley Health Products Ltd</w:t>
            </w:r>
          </w:p>
        </w:tc>
        <w:tc>
          <w:tcPr>
            <w:tcW w:w="2247" w:type="dxa"/>
            <w:vAlign w:val="center"/>
          </w:tcPr>
          <w:p w:rsidR="00786FB9" w:rsidRPr="009951BF" w:rsidRDefault="0005379B" w:rsidP="003C3B06">
            <w:pPr>
              <w:pStyle w:val="NoSpacing"/>
              <w:rPr>
                <w:rFonts w:ascii="Arial" w:hAnsi="Arial" w:cs="Arial"/>
              </w:rPr>
            </w:pPr>
            <w:r>
              <w:rPr>
                <w:rFonts w:ascii="Arial" w:hAnsi="Arial" w:cs="Arial"/>
              </w:rPr>
              <w:t>Heinz Food Products Factory</w:t>
            </w:r>
          </w:p>
        </w:tc>
        <w:tc>
          <w:tcPr>
            <w:tcW w:w="2247" w:type="dxa"/>
            <w:vAlign w:val="center"/>
          </w:tcPr>
          <w:p w:rsidR="00786FB9" w:rsidRPr="009951BF" w:rsidRDefault="0005379B" w:rsidP="003C3B06">
            <w:pPr>
              <w:pStyle w:val="NoSpacing"/>
              <w:rPr>
                <w:rFonts w:ascii="Arial" w:hAnsi="Arial" w:cs="Arial"/>
              </w:rPr>
            </w:pPr>
            <w:r>
              <w:rPr>
                <w:rFonts w:ascii="Arial" w:hAnsi="Arial" w:cs="Arial"/>
              </w:rPr>
              <w:t>Kendal Mintsfeet</w:t>
            </w:r>
          </w:p>
        </w:tc>
        <w:tc>
          <w:tcPr>
            <w:tcW w:w="2247" w:type="dxa"/>
            <w:vAlign w:val="center"/>
          </w:tcPr>
          <w:p w:rsidR="00786FB9" w:rsidRPr="009951BF" w:rsidRDefault="0005379B" w:rsidP="003C3B06">
            <w:pPr>
              <w:pStyle w:val="NoSpacing"/>
              <w:rPr>
                <w:rFonts w:ascii="Arial" w:hAnsi="Arial" w:cs="Arial"/>
              </w:rPr>
            </w:pPr>
            <w:r>
              <w:rPr>
                <w:rFonts w:ascii="Arial" w:hAnsi="Arial" w:cs="Arial"/>
              </w:rPr>
              <w:t>Mint Bridge Road, Kendal</w:t>
            </w:r>
          </w:p>
        </w:tc>
      </w:tr>
      <w:tr w:rsidR="00786FB9" w:rsidRPr="009951BF" w:rsidTr="003C3B06">
        <w:trPr>
          <w:trHeight w:val="506"/>
        </w:trPr>
        <w:tc>
          <w:tcPr>
            <w:tcW w:w="2501" w:type="dxa"/>
            <w:vAlign w:val="center"/>
          </w:tcPr>
          <w:p w:rsidR="00786FB9" w:rsidRPr="009951BF" w:rsidRDefault="009972C1" w:rsidP="003C3B06">
            <w:pPr>
              <w:pStyle w:val="NoSpacing"/>
              <w:rPr>
                <w:rFonts w:ascii="Arial" w:hAnsi="Arial" w:cs="Arial"/>
              </w:rPr>
            </w:pPr>
            <w:r>
              <w:rPr>
                <w:rFonts w:ascii="Arial" w:hAnsi="Arial" w:cs="Arial"/>
              </w:rPr>
              <w:t>Castle Green Hotel</w:t>
            </w:r>
          </w:p>
        </w:tc>
        <w:tc>
          <w:tcPr>
            <w:tcW w:w="2247" w:type="dxa"/>
            <w:vAlign w:val="center"/>
          </w:tcPr>
          <w:p w:rsidR="00786FB9" w:rsidRPr="009951BF" w:rsidRDefault="009972C1" w:rsidP="003C3B06">
            <w:pPr>
              <w:pStyle w:val="NoSpacing"/>
              <w:rPr>
                <w:rFonts w:ascii="Arial" w:hAnsi="Arial" w:cs="Arial"/>
              </w:rPr>
            </w:pPr>
            <w:r>
              <w:rPr>
                <w:rFonts w:ascii="Arial" w:hAnsi="Arial" w:cs="Arial"/>
              </w:rPr>
              <w:t>Hotel</w:t>
            </w:r>
          </w:p>
        </w:tc>
        <w:tc>
          <w:tcPr>
            <w:tcW w:w="2247" w:type="dxa"/>
            <w:vAlign w:val="center"/>
          </w:tcPr>
          <w:p w:rsidR="00786FB9" w:rsidRPr="009951BF" w:rsidRDefault="009972C1" w:rsidP="003C3B06">
            <w:pPr>
              <w:pStyle w:val="NoSpacing"/>
              <w:rPr>
                <w:rFonts w:ascii="Arial" w:hAnsi="Arial" w:cs="Arial"/>
              </w:rPr>
            </w:pPr>
            <w:r>
              <w:rPr>
                <w:rFonts w:ascii="Arial" w:hAnsi="Arial" w:cs="Arial"/>
              </w:rPr>
              <w:t>Kendal Castle</w:t>
            </w:r>
          </w:p>
        </w:tc>
        <w:tc>
          <w:tcPr>
            <w:tcW w:w="2247" w:type="dxa"/>
            <w:vAlign w:val="center"/>
          </w:tcPr>
          <w:p w:rsidR="00786FB9" w:rsidRPr="009951BF" w:rsidRDefault="009972C1" w:rsidP="003C3B06">
            <w:pPr>
              <w:pStyle w:val="NoSpacing"/>
              <w:rPr>
                <w:rFonts w:ascii="Arial" w:hAnsi="Arial" w:cs="Arial"/>
              </w:rPr>
            </w:pPr>
            <w:r>
              <w:rPr>
                <w:rFonts w:ascii="Arial" w:hAnsi="Arial" w:cs="Arial"/>
              </w:rPr>
              <w:t>Castle Green Road, Kendal</w:t>
            </w:r>
          </w:p>
        </w:tc>
      </w:tr>
      <w:tr w:rsidR="00786FB9" w:rsidRPr="009951BF" w:rsidTr="003C3B06">
        <w:trPr>
          <w:trHeight w:val="506"/>
        </w:trPr>
        <w:tc>
          <w:tcPr>
            <w:tcW w:w="2501" w:type="dxa"/>
            <w:vAlign w:val="center"/>
          </w:tcPr>
          <w:p w:rsidR="00786FB9" w:rsidRPr="009951BF" w:rsidRDefault="009972C1" w:rsidP="003C3B06">
            <w:pPr>
              <w:pStyle w:val="NoSpacing"/>
              <w:rPr>
                <w:rFonts w:ascii="Arial" w:hAnsi="Arial" w:cs="Arial"/>
              </w:rPr>
            </w:pPr>
            <w:r>
              <w:rPr>
                <w:rFonts w:ascii="Arial" w:hAnsi="Arial" w:cs="Arial"/>
              </w:rPr>
              <w:t xml:space="preserve">B&amp;Q </w:t>
            </w:r>
          </w:p>
        </w:tc>
        <w:tc>
          <w:tcPr>
            <w:tcW w:w="2247" w:type="dxa"/>
            <w:vAlign w:val="center"/>
          </w:tcPr>
          <w:p w:rsidR="00786FB9" w:rsidRPr="009951BF" w:rsidRDefault="009972C1" w:rsidP="003C3B06">
            <w:pPr>
              <w:pStyle w:val="NoSpacing"/>
              <w:rPr>
                <w:rFonts w:ascii="Arial" w:hAnsi="Arial" w:cs="Arial"/>
              </w:rPr>
            </w:pPr>
            <w:r>
              <w:rPr>
                <w:rFonts w:ascii="Arial" w:hAnsi="Arial" w:cs="Arial"/>
              </w:rPr>
              <w:t>DIY Superstore</w:t>
            </w:r>
          </w:p>
        </w:tc>
        <w:tc>
          <w:tcPr>
            <w:tcW w:w="2247" w:type="dxa"/>
            <w:vAlign w:val="center"/>
          </w:tcPr>
          <w:p w:rsidR="00786FB9" w:rsidRPr="009951BF" w:rsidRDefault="009972C1" w:rsidP="003C3B06">
            <w:pPr>
              <w:pStyle w:val="NoSpacing"/>
              <w:rPr>
                <w:rFonts w:ascii="Arial" w:hAnsi="Arial" w:cs="Arial"/>
              </w:rPr>
            </w:pPr>
            <w:r>
              <w:rPr>
                <w:rFonts w:ascii="Arial" w:hAnsi="Arial" w:cs="Arial"/>
              </w:rPr>
              <w:t>Kendal Oxenholme &amp; Natland</w:t>
            </w:r>
          </w:p>
        </w:tc>
        <w:tc>
          <w:tcPr>
            <w:tcW w:w="2247" w:type="dxa"/>
            <w:vAlign w:val="center"/>
          </w:tcPr>
          <w:p w:rsidR="00786FB9" w:rsidRPr="009951BF" w:rsidRDefault="009972C1" w:rsidP="003C3B06">
            <w:pPr>
              <w:pStyle w:val="NoSpacing"/>
              <w:rPr>
                <w:rFonts w:ascii="Arial" w:hAnsi="Arial" w:cs="Arial"/>
              </w:rPr>
            </w:pPr>
            <w:r>
              <w:rPr>
                <w:rFonts w:ascii="Arial" w:hAnsi="Arial" w:cs="Arial"/>
              </w:rPr>
              <w:t>Burton Road, Kendal</w:t>
            </w:r>
          </w:p>
        </w:tc>
      </w:tr>
    </w:tbl>
    <w:p w:rsidR="005B26F0" w:rsidRDefault="005B26F0" w:rsidP="00A4653C">
      <w:pPr>
        <w:pStyle w:val="NoSpacing"/>
        <w:rPr>
          <w:rFonts w:ascii="Arial" w:hAnsi="Arial" w:cs="Arial"/>
        </w:rPr>
      </w:pPr>
    </w:p>
    <w:p w:rsidR="005B26F0" w:rsidRDefault="005B26F0">
      <w:pPr>
        <w:spacing w:after="200" w:line="276" w:lineRule="auto"/>
        <w:rPr>
          <w:rFonts w:eastAsiaTheme="minorHAnsi"/>
          <w:sz w:val="22"/>
          <w:szCs w:val="22"/>
          <w:lang w:val="en-GB"/>
        </w:rPr>
      </w:pPr>
      <w:r>
        <w:br w:type="page"/>
      </w:r>
    </w:p>
    <w:p w:rsidR="005B26F0" w:rsidRPr="002B5103" w:rsidRDefault="005B26F0" w:rsidP="005328D1">
      <w:pPr>
        <w:pStyle w:val="NoSpacing"/>
        <w:outlineLvl w:val="0"/>
        <w:rPr>
          <w:rFonts w:ascii="Arial" w:hAnsi="Arial" w:cs="Arial"/>
          <w:b/>
          <w:color w:val="4F81BD" w:themeColor="accent1"/>
          <w:sz w:val="28"/>
        </w:rPr>
      </w:pPr>
      <w:bookmarkStart w:id="10" w:name="_Toc356825945"/>
      <w:bookmarkStart w:id="11" w:name="_Toc364152055"/>
      <w:r w:rsidRPr="002B5103">
        <w:rPr>
          <w:rFonts w:ascii="Arial" w:hAnsi="Arial" w:cs="Arial"/>
          <w:b/>
          <w:color w:val="4F81BD" w:themeColor="accent1"/>
          <w:sz w:val="28"/>
        </w:rPr>
        <w:lastRenderedPageBreak/>
        <w:t xml:space="preserve">Concluding Overview of </w:t>
      </w:r>
      <w:r>
        <w:rPr>
          <w:rFonts w:ascii="Arial" w:hAnsi="Arial" w:cs="Arial"/>
          <w:b/>
          <w:color w:val="4F81BD" w:themeColor="accent1"/>
          <w:sz w:val="28"/>
        </w:rPr>
        <w:t>Kendal</w:t>
      </w:r>
      <w:r w:rsidRPr="002B5103">
        <w:rPr>
          <w:rFonts w:ascii="Arial" w:hAnsi="Arial" w:cs="Arial"/>
          <w:b/>
          <w:color w:val="4F81BD" w:themeColor="accent1"/>
          <w:sz w:val="28"/>
        </w:rPr>
        <w:t xml:space="preserve"> LAP</w:t>
      </w:r>
      <w:bookmarkEnd w:id="10"/>
      <w:bookmarkEnd w:id="11"/>
      <w:r w:rsidRPr="002B5103">
        <w:rPr>
          <w:rFonts w:ascii="Arial" w:hAnsi="Arial" w:cs="Arial"/>
          <w:b/>
          <w:color w:val="4F81BD" w:themeColor="accent1"/>
          <w:sz w:val="28"/>
        </w:rPr>
        <w:t xml:space="preserve"> </w:t>
      </w:r>
    </w:p>
    <w:p w:rsidR="005B26F0" w:rsidRDefault="005B26F0" w:rsidP="005B26F0">
      <w:pPr>
        <w:pStyle w:val="NoSpacing"/>
        <w:numPr>
          <w:ilvl w:val="0"/>
          <w:numId w:val="2"/>
        </w:numPr>
        <w:spacing w:before="240" w:after="240"/>
        <w:ind w:left="0" w:hanging="357"/>
        <w:rPr>
          <w:rFonts w:ascii="Arial" w:hAnsi="Arial" w:cs="Arial"/>
        </w:rPr>
      </w:pPr>
      <w:r w:rsidRPr="00592FE4">
        <w:rPr>
          <w:rFonts w:ascii="Arial" w:hAnsi="Arial" w:cs="Arial"/>
        </w:rPr>
        <w:t xml:space="preserve">In March 2011, the population of </w:t>
      </w:r>
      <w:r>
        <w:rPr>
          <w:rFonts w:ascii="Arial" w:hAnsi="Arial" w:cs="Arial"/>
        </w:rPr>
        <w:t>Kendal</w:t>
      </w:r>
      <w:r w:rsidRPr="00592FE4">
        <w:rPr>
          <w:rFonts w:ascii="Arial" w:hAnsi="Arial" w:cs="Arial"/>
        </w:rPr>
        <w:t xml:space="preserve"> LAP was </w:t>
      </w:r>
      <w:r>
        <w:rPr>
          <w:rFonts w:ascii="Arial" w:hAnsi="Arial" w:cs="Arial"/>
        </w:rPr>
        <w:t>30,171</w:t>
      </w:r>
      <w:r w:rsidRPr="00592FE4">
        <w:rPr>
          <w:rFonts w:ascii="Arial" w:hAnsi="Arial" w:cs="Arial"/>
        </w:rPr>
        <w:t xml:space="preserve">, </w:t>
      </w:r>
      <w:r>
        <w:rPr>
          <w:rFonts w:ascii="Arial" w:hAnsi="Arial" w:cs="Arial"/>
        </w:rPr>
        <w:t>the</w:t>
      </w:r>
      <w:r w:rsidRPr="00592FE4">
        <w:rPr>
          <w:rFonts w:ascii="Arial" w:hAnsi="Arial" w:cs="Arial"/>
        </w:rPr>
        <w:t xml:space="preserve"> highest of all South Lakeland LAPs. There has been a </w:t>
      </w:r>
      <w:r>
        <w:rPr>
          <w:rFonts w:ascii="Arial" w:hAnsi="Arial" w:cs="Arial"/>
        </w:rPr>
        <w:t>3.6</w:t>
      </w:r>
      <w:r w:rsidRPr="00592FE4">
        <w:rPr>
          <w:rFonts w:ascii="Arial" w:hAnsi="Arial" w:cs="Arial"/>
        </w:rPr>
        <w:t xml:space="preserve">% increase in population since 2001. </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63.1% of the residents are aged 16-64 years of age (working age), 19.7% are aged over 65 and 17.2% are aged between 0-15 years of age.</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All the age ranges under 16 have seen a decrease between 2001 and 2011 (6.7%), while the over 65 and over 90 age ranges have seen increases of 45.1% and 47% respectively.</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The overall health of Kendal LAP residents is generally good, with just 4.8% saying that their health is bad/very bad. 82.3% of residents are not limited in their day-to-day activities by any health problems or disability.</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 xml:space="preserve">The vast majority of residents are classed as White British (95.7%). Christianity is the main religion in the LAP (66.4% following this faith). 25.4% of residents do not follow any religion. </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72.8% of the 13,557 households in the LAP are either owned outright or with a mortgage. In April 2010 there were 321 second homes and just 12 holiday homes registered for council tax in the LAP area.</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The average house price in Kendal LAP is £189,172, while the average household income is £31,924.</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15.5% of households in Kendal LAP are considered to be in fuel poverty.</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 xml:space="preserve">29.1% of residents are qualified up to or above level 4 (Degree, Diploma etc), while 12.5% are educated up to level 3 (A/AS level). 21% have no formal qualifications. </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 xml:space="preserve">74.3% of the working age population are ‘Economically Active’. 40.8% are full-time employed, 17.9% part-time, and 10.4% self-employed. 2.2% are unemployed. 25.7% </w:t>
      </w:r>
      <w:proofErr w:type="gramStart"/>
      <w:r>
        <w:rPr>
          <w:rFonts w:ascii="Arial" w:hAnsi="Arial" w:cs="Arial"/>
        </w:rPr>
        <w:t>are</w:t>
      </w:r>
      <w:proofErr w:type="gramEnd"/>
      <w:r>
        <w:rPr>
          <w:rFonts w:ascii="Arial" w:hAnsi="Arial" w:cs="Arial"/>
        </w:rPr>
        <w:t xml:space="preserve"> ‘Economically Inactive’, with the majority (16.9% of the working age population) being retired. </w:t>
      </w:r>
    </w:p>
    <w:p w:rsidR="005B26F0" w:rsidRDefault="005B26F0" w:rsidP="005B26F0">
      <w:pPr>
        <w:pStyle w:val="NoSpacing"/>
        <w:numPr>
          <w:ilvl w:val="0"/>
          <w:numId w:val="2"/>
        </w:numPr>
        <w:spacing w:before="240" w:after="240"/>
        <w:ind w:left="0" w:hanging="357"/>
        <w:rPr>
          <w:rFonts w:ascii="Arial" w:hAnsi="Arial" w:cs="Arial"/>
        </w:rPr>
      </w:pPr>
      <w:r>
        <w:rPr>
          <w:rFonts w:ascii="Arial" w:hAnsi="Arial" w:cs="Arial"/>
        </w:rPr>
        <w:t xml:space="preserve">The top five industries of employment in Kendal LAP are; Wholesale, Retail &amp; Vehicle Repair, Human Health &amp; Social Work, Manufacturing, Education, and Construction. </w:t>
      </w:r>
    </w:p>
    <w:p w:rsidR="005B26F0" w:rsidRPr="00592FE4" w:rsidRDefault="005B26F0" w:rsidP="005B26F0">
      <w:pPr>
        <w:pStyle w:val="NoSpacing"/>
        <w:numPr>
          <w:ilvl w:val="0"/>
          <w:numId w:val="2"/>
        </w:numPr>
        <w:spacing w:before="240" w:after="240"/>
        <w:ind w:left="0" w:hanging="357"/>
        <w:rPr>
          <w:rFonts w:ascii="Arial" w:hAnsi="Arial" w:cs="Arial"/>
        </w:rPr>
      </w:pPr>
      <w:r>
        <w:rPr>
          <w:rFonts w:ascii="Arial" w:hAnsi="Arial" w:cs="Arial"/>
        </w:rPr>
        <w:t xml:space="preserve">The top three occupations in the LAP are Professional, Skilled Trades and Elementary. </w:t>
      </w:r>
    </w:p>
    <w:p w:rsidR="005B26F0" w:rsidRPr="00592FE4" w:rsidRDefault="005B26F0" w:rsidP="005B26F0">
      <w:pPr>
        <w:pStyle w:val="NoSpacing"/>
        <w:spacing w:before="240"/>
        <w:rPr>
          <w:rFonts w:ascii="Arial" w:hAnsi="Arial" w:cs="Arial"/>
        </w:rPr>
      </w:pPr>
    </w:p>
    <w:p w:rsidR="005B26F0" w:rsidRPr="00592FE4" w:rsidRDefault="005B26F0" w:rsidP="005B26F0">
      <w:pPr>
        <w:pStyle w:val="NoSpacing"/>
        <w:rPr>
          <w:rFonts w:ascii="Arial" w:hAnsi="Arial" w:cs="Arial"/>
        </w:rPr>
      </w:pPr>
    </w:p>
    <w:p w:rsidR="005B26F0" w:rsidRPr="009951BF" w:rsidRDefault="005B26F0" w:rsidP="005B26F0">
      <w:pPr>
        <w:pStyle w:val="NoSpacing"/>
        <w:rPr>
          <w:rFonts w:ascii="Arial" w:hAnsi="Arial" w:cs="Arial"/>
        </w:rPr>
      </w:pPr>
    </w:p>
    <w:p w:rsidR="005B26F0" w:rsidRPr="009951BF" w:rsidRDefault="005B26F0" w:rsidP="005B26F0">
      <w:pPr>
        <w:pStyle w:val="NoSpacing"/>
        <w:rPr>
          <w:rFonts w:ascii="Arial" w:hAnsi="Arial" w:cs="Arial"/>
        </w:rPr>
      </w:pPr>
    </w:p>
    <w:p w:rsidR="005B26F0" w:rsidRDefault="005B26F0" w:rsidP="005B26F0">
      <w:pPr>
        <w:pStyle w:val="NoSpacing"/>
        <w:rPr>
          <w:rFonts w:ascii="Arial" w:hAnsi="Arial" w:cs="Arial"/>
        </w:rPr>
      </w:pPr>
    </w:p>
    <w:p w:rsidR="005B26F0" w:rsidRDefault="005B26F0" w:rsidP="005B26F0">
      <w:pPr>
        <w:pStyle w:val="NoSpacing"/>
        <w:rPr>
          <w:rFonts w:ascii="Arial" w:hAnsi="Arial" w:cs="Arial"/>
        </w:rPr>
      </w:pPr>
    </w:p>
    <w:p w:rsidR="005B26F0" w:rsidRDefault="005B26F0" w:rsidP="005B26F0">
      <w:pPr>
        <w:pStyle w:val="NoSpacing"/>
        <w:rPr>
          <w:rFonts w:ascii="Arial" w:hAnsi="Arial" w:cs="Arial"/>
        </w:rPr>
      </w:pPr>
    </w:p>
    <w:p w:rsidR="005B26F0" w:rsidRDefault="005B26F0" w:rsidP="005B26F0">
      <w:pPr>
        <w:pStyle w:val="NoSpacing"/>
        <w:rPr>
          <w:rFonts w:ascii="Arial" w:hAnsi="Arial" w:cs="Arial"/>
        </w:rPr>
      </w:pPr>
    </w:p>
    <w:p w:rsidR="005B26F0" w:rsidRDefault="005B26F0" w:rsidP="005B26F0">
      <w:pPr>
        <w:pStyle w:val="NoSpacing"/>
        <w:rPr>
          <w:rFonts w:ascii="Arial" w:hAnsi="Arial" w:cs="Arial"/>
        </w:rPr>
      </w:pPr>
    </w:p>
    <w:p w:rsidR="005B26F0" w:rsidRDefault="005B26F0" w:rsidP="005B26F0">
      <w:pPr>
        <w:pStyle w:val="NoSpacing"/>
        <w:rPr>
          <w:rFonts w:ascii="Arial" w:hAnsi="Arial" w:cs="Arial"/>
        </w:rPr>
      </w:pPr>
    </w:p>
    <w:p w:rsidR="005B26F0" w:rsidRDefault="005B26F0" w:rsidP="005B26F0">
      <w:pPr>
        <w:pStyle w:val="NoSpacing"/>
        <w:rPr>
          <w:rFonts w:ascii="Arial" w:hAnsi="Arial" w:cs="Arial"/>
        </w:rPr>
      </w:pPr>
    </w:p>
    <w:p w:rsidR="00786FB9" w:rsidRPr="00CD3D68" w:rsidRDefault="005B26F0" w:rsidP="00A4653C">
      <w:pPr>
        <w:pStyle w:val="NoSpacing"/>
        <w:rPr>
          <w:rFonts w:ascii="Arial" w:hAnsi="Arial" w:cs="Arial"/>
        </w:rPr>
      </w:pPr>
      <w:r>
        <w:rPr>
          <w:rFonts w:ascii="Arial" w:hAnsi="Arial" w:cs="Arial"/>
        </w:rPr>
        <w:t xml:space="preserve">The following link to the Office for National Statistics website can be used to view various types of data and statistics at different geographical levels including district, ward and parish level. </w:t>
      </w:r>
      <w:hyperlink r:id="rId24" w:history="1">
        <w:r w:rsidRPr="00BA69F7">
          <w:rPr>
            <w:rStyle w:val="Hyperlink"/>
            <w:rFonts w:ascii="Arial" w:hAnsi="Arial" w:cs="Arial"/>
          </w:rPr>
          <w:t>http://www.neighbourhood.statistics.gov.uk/dissemination/</w:t>
        </w:r>
      </w:hyperlink>
    </w:p>
    <w:sectPr w:rsidR="00786FB9" w:rsidRPr="00CD3D68" w:rsidSect="00B67D41">
      <w:footerReference w:type="default" r:id="rId25"/>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F48" w:rsidRDefault="00D84F48" w:rsidP="00D84F48">
      <w:r>
        <w:separator/>
      </w:r>
    </w:p>
  </w:endnote>
  <w:endnote w:type="continuationSeparator" w:id="0">
    <w:p w:rsidR="00D84F48" w:rsidRDefault="00D84F48" w:rsidP="00D84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F48" w:rsidRPr="00D84F48" w:rsidRDefault="00656D5C">
    <w:pPr>
      <w:pStyle w:val="Footer"/>
      <w:rPr>
        <w:color w:val="000000" w:themeColor="text1"/>
        <w:sz w:val="20"/>
      </w:rPr>
    </w:pPr>
    <w:sdt>
      <w:sdtPr>
        <w:rPr>
          <w:color w:val="000000" w:themeColor="text1"/>
          <w:sz w:val="20"/>
        </w:rPr>
        <w:alias w:val="Author"/>
        <w:id w:val="54214575"/>
        <w:placeholder>
          <w:docPart w:val="FD91003C371C45509FA7943DB28EA9BC"/>
        </w:placeholder>
        <w:dataBinding w:prefixMappings="xmlns:ns0='http://schemas.openxmlformats.org/package/2006/metadata/core-properties' xmlns:ns1='http://purl.org/dc/elements/1.1/'" w:xpath="/ns0:coreProperties[1]/ns1:creator[1]" w:storeItemID="{6C3C8BC8-F283-45AE-878A-BAB7291924A1}"/>
        <w:text/>
      </w:sdtPr>
      <w:sdtEndPr/>
      <w:sdtContent>
        <w:r w:rsidR="0003049A">
          <w:rPr>
            <w:color w:val="000000" w:themeColor="text1"/>
            <w:sz w:val="20"/>
            <w:lang w:val="en-GB"/>
          </w:rPr>
          <w:t>Kendal Local Area Partnership Profile 2013</w:t>
        </w:r>
      </w:sdtContent>
    </w:sdt>
  </w:p>
  <w:p w:rsidR="00D84F48" w:rsidRDefault="00D84F48">
    <w:pPr>
      <w:pStyle w:val="Footer"/>
    </w:pPr>
    <w:r>
      <w:rPr>
        <w:noProof/>
        <w:lang w:val="en-GB" w:eastAsia="en-GB"/>
      </w:rPr>
      <mc:AlternateContent>
        <mc:Choice Requires="wps">
          <w:drawing>
            <wp:anchor distT="0" distB="0" distL="114300" distR="114300" simplePos="0" relativeHeight="251659264" behindDoc="0" locked="0" layoutInCell="1" allowOverlap="1" wp14:anchorId="291169FB" wp14:editId="1C1B920F">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D84F48" w:rsidRPr="00D84F48" w:rsidRDefault="00D84F48">
                          <w:pPr>
                            <w:pStyle w:val="Footer"/>
                            <w:jc w:val="right"/>
                            <w:rPr>
                              <w:color w:val="000000" w:themeColor="text1"/>
                              <w:sz w:val="22"/>
                              <w:szCs w:val="22"/>
                            </w:rPr>
                          </w:pPr>
                          <w:r w:rsidRPr="00D84F48">
                            <w:rPr>
                              <w:color w:val="000000" w:themeColor="text1"/>
                              <w:sz w:val="22"/>
                              <w:szCs w:val="22"/>
                            </w:rPr>
                            <w:fldChar w:fldCharType="begin"/>
                          </w:r>
                          <w:r w:rsidRPr="00D84F48">
                            <w:rPr>
                              <w:color w:val="000000" w:themeColor="text1"/>
                              <w:sz w:val="22"/>
                              <w:szCs w:val="22"/>
                            </w:rPr>
                            <w:instrText xml:space="preserve"> PAGE  \* Arabic  \* MERGEFORMAT </w:instrText>
                          </w:r>
                          <w:r w:rsidRPr="00D84F48">
                            <w:rPr>
                              <w:color w:val="000000" w:themeColor="text1"/>
                              <w:sz w:val="22"/>
                              <w:szCs w:val="22"/>
                            </w:rPr>
                            <w:fldChar w:fldCharType="separate"/>
                          </w:r>
                          <w:r w:rsidR="00656D5C">
                            <w:rPr>
                              <w:noProof/>
                              <w:color w:val="000000" w:themeColor="text1"/>
                              <w:sz w:val="22"/>
                              <w:szCs w:val="22"/>
                            </w:rPr>
                            <w:t>1</w:t>
                          </w:r>
                          <w:r w:rsidRPr="00D84F48">
                            <w:rPr>
                              <w:color w:val="000000" w:themeColor="text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rsidR="00D84F48" w:rsidRPr="00D84F48" w:rsidRDefault="00D84F48">
                    <w:pPr>
                      <w:pStyle w:val="Footer"/>
                      <w:jc w:val="right"/>
                      <w:rPr>
                        <w:color w:val="000000" w:themeColor="text1"/>
                        <w:sz w:val="22"/>
                        <w:szCs w:val="22"/>
                      </w:rPr>
                    </w:pPr>
                    <w:r w:rsidRPr="00D84F48">
                      <w:rPr>
                        <w:color w:val="000000" w:themeColor="text1"/>
                        <w:sz w:val="22"/>
                        <w:szCs w:val="22"/>
                      </w:rPr>
                      <w:fldChar w:fldCharType="begin"/>
                    </w:r>
                    <w:r w:rsidRPr="00D84F48">
                      <w:rPr>
                        <w:color w:val="000000" w:themeColor="text1"/>
                        <w:sz w:val="22"/>
                        <w:szCs w:val="22"/>
                      </w:rPr>
                      <w:instrText xml:space="preserve"> PAGE  \* Arabic  \* MERGEFORMAT </w:instrText>
                    </w:r>
                    <w:r w:rsidRPr="00D84F48">
                      <w:rPr>
                        <w:color w:val="000000" w:themeColor="text1"/>
                        <w:sz w:val="22"/>
                        <w:szCs w:val="22"/>
                      </w:rPr>
                      <w:fldChar w:fldCharType="separate"/>
                    </w:r>
                    <w:r w:rsidR="00656D5C">
                      <w:rPr>
                        <w:noProof/>
                        <w:color w:val="000000" w:themeColor="text1"/>
                        <w:sz w:val="22"/>
                        <w:szCs w:val="22"/>
                      </w:rPr>
                      <w:t>1</w:t>
                    </w:r>
                    <w:r w:rsidRPr="00D84F48">
                      <w:rPr>
                        <w:color w:val="000000" w:themeColor="text1"/>
                        <w:sz w:val="22"/>
                        <w:szCs w:val="22"/>
                      </w:rPr>
                      <w:fldChar w:fldCharType="end"/>
                    </w:r>
                  </w:p>
                </w:txbxContent>
              </v:textbox>
              <w10:wrap anchorx="margin" anchory="margin"/>
            </v:shape>
          </w:pict>
        </mc:Fallback>
      </mc:AlternateContent>
    </w:r>
    <w:r>
      <w:rPr>
        <w:noProof/>
        <w:color w:val="4F81BD" w:themeColor="accent1"/>
        <w:lang w:val="en-GB" w:eastAsia="en-GB"/>
      </w:rPr>
      <mc:AlternateContent>
        <mc:Choice Requires="wps">
          <w:drawing>
            <wp:anchor distT="91440" distB="91440" distL="114300" distR="114300" simplePos="0" relativeHeight="251660288" behindDoc="1" locked="0" layoutInCell="1" allowOverlap="1" wp14:anchorId="68BF150D" wp14:editId="05977821">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F48" w:rsidRDefault="00D84F48" w:rsidP="00D84F48">
      <w:r>
        <w:separator/>
      </w:r>
    </w:p>
  </w:footnote>
  <w:footnote w:type="continuationSeparator" w:id="0">
    <w:p w:rsidR="00D84F48" w:rsidRDefault="00D84F48" w:rsidP="00D84F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CE637E"/>
    <w:multiLevelType w:val="hybridMultilevel"/>
    <w:tmpl w:val="5CF8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8914C6A"/>
    <w:multiLevelType w:val="hybridMultilevel"/>
    <w:tmpl w:val="7A78EF84"/>
    <w:lvl w:ilvl="0" w:tplc="1DC6A7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348"/>
    <w:rsid w:val="000034F2"/>
    <w:rsid w:val="00004F99"/>
    <w:rsid w:val="000054EE"/>
    <w:rsid w:val="00017114"/>
    <w:rsid w:val="00022896"/>
    <w:rsid w:val="0002423A"/>
    <w:rsid w:val="0003049A"/>
    <w:rsid w:val="00040367"/>
    <w:rsid w:val="0004117B"/>
    <w:rsid w:val="0005379B"/>
    <w:rsid w:val="0006491A"/>
    <w:rsid w:val="00064F8E"/>
    <w:rsid w:val="000B3800"/>
    <w:rsid w:val="000B4523"/>
    <w:rsid w:val="000B7BB4"/>
    <w:rsid w:val="000C30A4"/>
    <w:rsid w:val="000E782F"/>
    <w:rsid w:val="000F524A"/>
    <w:rsid w:val="00123834"/>
    <w:rsid w:val="00125BBE"/>
    <w:rsid w:val="001605B1"/>
    <w:rsid w:val="00162B6B"/>
    <w:rsid w:val="001C2EAD"/>
    <w:rsid w:val="001C78B4"/>
    <w:rsid w:val="00205348"/>
    <w:rsid w:val="00211BCA"/>
    <w:rsid w:val="00247AD3"/>
    <w:rsid w:val="0029613C"/>
    <w:rsid w:val="002B1301"/>
    <w:rsid w:val="002B2333"/>
    <w:rsid w:val="002B45ED"/>
    <w:rsid w:val="002B5103"/>
    <w:rsid w:val="002D6C1A"/>
    <w:rsid w:val="002E5A2A"/>
    <w:rsid w:val="00300414"/>
    <w:rsid w:val="003104CD"/>
    <w:rsid w:val="0031796D"/>
    <w:rsid w:val="00331A77"/>
    <w:rsid w:val="0033211D"/>
    <w:rsid w:val="0033427B"/>
    <w:rsid w:val="00393122"/>
    <w:rsid w:val="003C5446"/>
    <w:rsid w:val="003D345D"/>
    <w:rsid w:val="003E5A52"/>
    <w:rsid w:val="003E65B7"/>
    <w:rsid w:val="00431EFF"/>
    <w:rsid w:val="00440890"/>
    <w:rsid w:val="004704D8"/>
    <w:rsid w:val="004769DC"/>
    <w:rsid w:val="004C05BA"/>
    <w:rsid w:val="004C1DCC"/>
    <w:rsid w:val="00501C58"/>
    <w:rsid w:val="00504ED3"/>
    <w:rsid w:val="0051696C"/>
    <w:rsid w:val="00524C2C"/>
    <w:rsid w:val="005328D1"/>
    <w:rsid w:val="00540DA1"/>
    <w:rsid w:val="00552B2F"/>
    <w:rsid w:val="00567C2D"/>
    <w:rsid w:val="005772D7"/>
    <w:rsid w:val="0058065F"/>
    <w:rsid w:val="005B26F0"/>
    <w:rsid w:val="005C74C7"/>
    <w:rsid w:val="00607B09"/>
    <w:rsid w:val="00612B81"/>
    <w:rsid w:val="006179C5"/>
    <w:rsid w:val="00626903"/>
    <w:rsid w:val="00656D5C"/>
    <w:rsid w:val="00674BCE"/>
    <w:rsid w:val="00680719"/>
    <w:rsid w:val="00685ABE"/>
    <w:rsid w:val="00687833"/>
    <w:rsid w:val="00696796"/>
    <w:rsid w:val="006A24D2"/>
    <w:rsid w:val="006A76FF"/>
    <w:rsid w:val="006A7982"/>
    <w:rsid w:val="006D3CDE"/>
    <w:rsid w:val="006E788F"/>
    <w:rsid w:val="006F0189"/>
    <w:rsid w:val="006F08C7"/>
    <w:rsid w:val="006F525D"/>
    <w:rsid w:val="00751110"/>
    <w:rsid w:val="007552FC"/>
    <w:rsid w:val="00786FB9"/>
    <w:rsid w:val="00793E18"/>
    <w:rsid w:val="00794610"/>
    <w:rsid w:val="007A4776"/>
    <w:rsid w:val="007B04AD"/>
    <w:rsid w:val="00800061"/>
    <w:rsid w:val="00870DDF"/>
    <w:rsid w:val="00871136"/>
    <w:rsid w:val="008A4075"/>
    <w:rsid w:val="008B5C43"/>
    <w:rsid w:val="008D3A51"/>
    <w:rsid w:val="008F6AB5"/>
    <w:rsid w:val="009104DC"/>
    <w:rsid w:val="00910E1D"/>
    <w:rsid w:val="009363EE"/>
    <w:rsid w:val="00936652"/>
    <w:rsid w:val="00945160"/>
    <w:rsid w:val="00951049"/>
    <w:rsid w:val="00961C51"/>
    <w:rsid w:val="009641D9"/>
    <w:rsid w:val="00985B33"/>
    <w:rsid w:val="009936E2"/>
    <w:rsid w:val="009951BF"/>
    <w:rsid w:val="00996573"/>
    <w:rsid w:val="009972C1"/>
    <w:rsid w:val="009A0D9B"/>
    <w:rsid w:val="009C47D0"/>
    <w:rsid w:val="009D3837"/>
    <w:rsid w:val="009E2CE8"/>
    <w:rsid w:val="00A127C7"/>
    <w:rsid w:val="00A323B6"/>
    <w:rsid w:val="00A367F0"/>
    <w:rsid w:val="00A4653C"/>
    <w:rsid w:val="00A540A7"/>
    <w:rsid w:val="00A660D8"/>
    <w:rsid w:val="00A74223"/>
    <w:rsid w:val="00A852F5"/>
    <w:rsid w:val="00A860CD"/>
    <w:rsid w:val="00AD1718"/>
    <w:rsid w:val="00AD54AF"/>
    <w:rsid w:val="00AD620F"/>
    <w:rsid w:val="00AE2A27"/>
    <w:rsid w:val="00AE65BB"/>
    <w:rsid w:val="00AF5031"/>
    <w:rsid w:val="00B025DE"/>
    <w:rsid w:val="00B11C97"/>
    <w:rsid w:val="00B30D3C"/>
    <w:rsid w:val="00B318F3"/>
    <w:rsid w:val="00B37DDC"/>
    <w:rsid w:val="00B45738"/>
    <w:rsid w:val="00B67D41"/>
    <w:rsid w:val="00B9517E"/>
    <w:rsid w:val="00BA7EC3"/>
    <w:rsid w:val="00BD1ED0"/>
    <w:rsid w:val="00BE410B"/>
    <w:rsid w:val="00BF443B"/>
    <w:rsid w:val="00BF4703"/>
    <w:rsid w:val="00C34E92"/>
    <w:rsid w:val="00C81225"/>
    <w:rsid w:val="00CC0349"/>
    <w:rsid w:val="00CD3D68"/>
    <w:rsid w:val="00CE2CA9"/>
    <w:rsid w:val="00CF1C28"/>
    <w:rsid w:val="00D0286F"/>
    <w:rsid w:val="00D02AC9"/>
    <w:rsid w:val="00D06803"/>
    <w:rsid w:val="00D14CB1"/>
    <w:rsid w:val="00D26532"/>
    <w:rsid w:val="00D35331"/>
    <w:rsid w:val="00D57818"/>
    <w:rsid w:val="00D74D75"/>
    <w:rsid w:val="00D84F48"/>
    <w:rsid w:val="00DB52C4"/>
    <w:rsid w:val="00DE3B50"/>
    <w:rsid w:val="00DF2F18"/>
    <w:rsid w:val="00E2100B"/>
    <w:rsid w:val="00E3011E"/>
    <w:rsid w:val="00E54F5F"/>
    <w:rsid w:val="00ED2D5B"/>
    <w:rsid w:val="00EE0F2F"/>
    <w:rsid w:val="00F03965"/>
    <w:rsid w:val="00F0631B"/>
    <w:rsid w:val="00F12E76"/>
    <w:rsid w:val="00F65215"/>
    <w:rsid w:val="00F74134"/>
    <w:rsid w:val="00F950DB"/>
    <w:rsid w:val="00FD1B1B"/>
    <w:rsid w:val="00FF1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0A7"/>
    <w:pPr>
      <w:spacing w:after="0" w:line="240" w:lineRule="auto"/>
    </w:pPr>
    <w:rPr>
      <w:rFonts w:ascii="Arial" w:eastAsia="Times New Roman" w:hAnsi="Arial" w:cs="Arial"/>
      <w:sz w:val="24"/>
      <w:szCs w:val="24"/>
      <w:lang w:val="en-US"/>
    </w:rPr>
  </w:style>
  <w:style w:type="paragraph" w:styleId="Heading1">
    <w:name w:val="heading 1"/>
    <w:basedOn w:val="Normal"/>
    <w:next w:val="Normal"/>
    <w:link w:val="Heading1Char"/>
    <w:uiPriority w:val="9"/>
    <w:qFormat/>
    <w:rsid w:val="009951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05348"/>
    <w:pPr>
      <w:spacing w:after="0" w:line="240" w:lineRule="auto"/>
    </w:pPr>
  </w:style>
  <w:style w:type="paragraph" w:styleId="BalloonText">
    <w:name w:val="Balloon Text"/>
    <w:basedOn w:val="Normal"/>
    <w:link w:val="BalloonTextChar"/>
    <w:uiPriority w:val="99"/>
    <w:semiHidden/>
    <w:unhideWhenUsed/>
    <w:rsid w:val="00AD1718"/>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AD1718"/>
    <w:rPr>
      <w:rFonts w:ascii="Tahoma" w:hAnsi="Tahoma" w:cs="Tahoma"/>
      <w:sz w:val="16"/>
      <w:szCs w:val="16"/>
    </w:rPr>
  </w:style>
  <w:style w:type="character" w:styleId="Hyperlink">
    <w:name w:val="Hyperlink"/>
    <w:basedOn w:val="DefaultParagraphFont"/>
    <w:uiPriority w:val="99"/>
    <w:rsid w:val="00A540A7"/>
    <w:rPr>
      <w:color w:val="0000FF"/>
      <w:u w:val="single"/>
    </w:rPr>
  </w:style>
  <w:style w:type="table" w:styleId="TableGrid">
    <w:name w:val="Table Grid"/>
    <w:basedOn w:val="TableNormal"/>
    <w:uiPriority w:val="59"/>
    <w:rsid w:val="00A852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4F48"/>
    <w:pPr>
      <w:tabs>
        <w:tab w:val="center" w:pos="4513"/>
        <w:tab w:val="right" w:pos="9026"/>
      </w:tabs>
    </w:pPr>
  </w:style>
  <w:style w:type="character" w:customStyle="1" w:styleId="HeaderChar">
    <w:name w:val="Header Char"/>
    <w:basedOn w:val="DefaultParagraphFont"/>
    <w:link w:val="Header"/>
    <w:uiPriority w:val="99"/>
    <w:rsid w:val="00D84F48"/>
    <w:rPr>
      <w:rFonts w:ascii="Arial" w:eastAsia="Times New Roman" w:hAnsi="Arial" w:cs="Arial"/>
      <w:sz w:val="24"/>
      <w:szCs w:val="24"/>
      <w:lang w:val="en-US"/>
    </w:rPr>
  </w:style>
  <w:style w:type="paragraph" w:styleId="Footer">
    <w:name w:val="footer"/>
    <w:basedOn w:val="Normal"/>
    <w:link w:val="FooterChar"/>
    <w:uiPriority w:val="99"/>
    <w:unhideWhenUsed/>
    <w:rsid w:val="00D84F48"/>
    <w:pPr>
      <w:tabs>
        <w:tab w:val="center" w:pos="4513"/>
        <w:tab w:val="right" w:pos="9026"/>
      </w:tabs>
    </w:pPr>
  </w:style>
  <w:style w:type="character" w:customStyle="1" w:styleId="FooterChar">
    <w:name w:val="Footer Char"/>
    <w:basedOn w:val="DefaultParagraphFont"/>
    <w:link w:val="Footer"/>
    <w:uiPriority w:val="99"/>
    <w:rsid w:val="00D84F48"/>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D84F48"/>
  </w:style>
  <w:style w:type="paragraph" w:styleId="ListParagraph">
    <w:name w:val="List Paragraph"/>
    <w:basedOn w:val="Normal"/>
    <w:uiPriority w:val="34"/>
    <w:qFormat/>
    <w:rsid w:val="0051696C"/>
    <w:pPr>
      <w:ind w:left="720"/>
      <w:contextualSpacing/>
    </w:pPr>
  </w:style>
  <w:style w:type="character" w:customStyle="1" w:styleId="Heading1Char">
    <w:name w:val="Heading 1 Char"/>
    <w:basedOn w:val="DefaultParagraphFont"/>
    <w:link w:val="Heading1"/>
    <w:uiPriority w:val="9"/>
    <w:rsid w:val="009951BF"/>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9951BF"/>
    <w:pPr>
      <w:spacing w:line="276" w:lineRule="auto"/>
      <w:outlineLvl w:val="9"/>
    </w:pPr>
    <w:rPr>
      <w:lang w:eastAsia="ja-JP"/>
    </w:rPr>
  </w:style>
  <w:style w:type="paragraph" w:styleId="TOC1">
    <w:name w:val="toc 1"/>
    <w:basedOn w:val="Normal"/>
    <w:next w:val="Normal"/>
    <w:autoRedefine/>
    <w:uiPriority w:val="39"/>
    <w:unhideWhenUsed/>
    <w:rsid w:val="00EE0F2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0A7"/>
    <w:pPr>
      <w:spacing w:after="0" w:line="240" w:lineRule="auto"/>
    </w:pPr>
    <w:rPr>
      <w:rFonts w:ascii="Arial" w:eastAsia="Times New Roman" w:hAnsi="Arial" w:cs="Arial"/>
      <w:sz w:val="24"/>
      <w:szCs w:val="24"/>
      <w:lang w:val="en-US"/>
    </w:rPr>
  </w:style>
  <w:style w:type="paragraph" w:styleId="Heading1">
    <w:name w:val="heading 1"/>
    <w:basedOn w:val="Normal"/>
    <w:next w:val="Normal"/>
    <w:link w:val="Heading1Char"/>
    <w:uiPriority w:val="9"/>
    <w:qFormat/>
    <w:rsid w:val="009951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05348"/>
    <w:pPr>
      <w:spacing w:after="0" w:line="240" w:lineRule="auto"/>
    </w:pPr>
  </w:style>
  <w:style w:type="paragraph" w:styleId="BalloonText">
    <w:name w:val="Balloon Text"/>
    <w:basedOn w:val="Normal"/>
    <w:link w:val="BalloonTextChar"/>
    <w:uiPriority w:val="99"/>
    <w:semiHidden/>
    <w:unhideWhenUsed/>
    <w:rsid w:val="00AD1718"/>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AD1718"/>
    <w:rPr>
      <w:rFonts w:ascii="Tahoma" w:hAnsi="Tahoma" w:cs="Tahoma"/>
      <w:sz w:val="16"/>
      <w:szCs w:val="16"/>
    </w:rPr>
  </w:style>
  <w:style w:type="character" w:styleId="Hyperlink">
    <w:name w:val="Hyperlink"/>
    <w:basedOn w:val="DefaultParagraphFont"/>
    <w:uiPriority w:val="99"/>
    <w:rsid w:val="00A540A7"/>
    <w:rPr>
      <w:color w:val="0000FF"/>
      <w:u w:val="single"/>
    </w:rPr>
  </w:style>
  <w:style w:type="table" w:styleId="TableGrid">
    <w:name w:val="Table Grid"/>
    <w:basedOn w:val="TableNormal"/>
    <w:uiPriority w:val="59"/>
    <w:rsid w:val="00A852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4F48"/>
    <w:pPr>
      <w:tabs>
        <w:tab w:val="center" w:pos="4513"/>
        <w:tab w:val="right" w:pos="9026"/>
      </w:tabs>
    </w:pPr>
  </w:style>
  <w:style w:type="character" w:customStyle="1" w:styleId="HeaderChar">
    <w:name w:val="Header Char"/>
    <w:basedOn w:val="DefaultParagraphFont"/>
    <w:link w:val="Header"/>
    <w:uiPriority w:val="99"/>
    <w:rsid w:val="00D84F48"/>
    <w:rPr>
      <w:rFonts w:ascii="Arial" w:eastAsia="Times New Roman" w:hAnsi="Arial" w:cs="Arial"/>
      <w:sz w:val="24"/>
      <w:szCs w:val="24"/>
      <w:lang w:val="en-US"/>
    </w:rPr>
  </w:style>
  <w:style w:type="paragraph" w:styleId="Footer">
    <w:name w:val="footer"/>
    <w:basedOn w:val="Normal"/>
    <w:link w:val="FooterChar"/>
    <w:uiPriority w:val="99"/>
    <w:unhideWhenUsed/>
    <w:rsid w:val="00D84F48"/>
    <w:pPr>
      <w:tabs>
        <w:tab w:val="center" w:pos="4513"/>
        <w:tab w:val="right" w:pos="9026"/>
      </w:tabs>
    </w:pPr>
  </w:style>
  <w:style w:type="character" w:customStyle="1" w:styleId="FooterChar">
    <w:name w:val="Footer Char"/>
    <w:basedOn w:val="DefaultParagraphFont"/>
    <w:link w:val="Footer"/>
    <w:uiPriority w:val="99"/>
    <w:rsid w:val="00D84F48"/>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D84F48"/>
  </w:style>
  <w:style w:type="paragraph" w:styleId="ListParagraph">
    <w:name w:val="List Paragraph"/>
    <w:basedOn w:val="Normal"/>
    <w:uiPriority w:val="34"/>
    <w:qFormat/>
    <w:rsid w:val="0051696C"/>
    <w:pPr>
      <w:ind w:left="720"/>
      <w:contextualSpacing/>
    </w:pPr>
  </w:style>
  <w:style w:type="character" w:customStyle="1" w:styleId="Heading1Char">
    <w:name w:val="Heading 1 Char"/>
    <w:basedOn w:val="DefaultParagraphFont"/>
    <w:link w:val="Heading1"/>
    <w:uiPriority w:val="9"/>
    <w:rsid w:val="009951BF"/>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9951BF"/>
    <w:pPr>
      <w:spacing w:line="276" w:lineRule="auto"/>
      <w:outlineLvl w:val="9"/>
    </w:pPr>
    <w:rPr>
      <w:lang w:eastAsia="ja-JP"/>
    </w:rPr>
  </w:style>
  <w:style w:type="paragraph" w:styleId="TOC1">
    <w:name w:val="toc 1"/>
    <w:basedOn w:val="Normal"/>
    <w:next w:val="Normal"/>
    <w:autoRedefine/>
    <w:uiPriority w:val="39"/>
    <w:unhideWhenUsed/>
    <w:rsid w:val="00EE0F2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licy@southlakeland.gov.uk" TargetMode="External"/><Relationship Id="rId24" Type="http://schemas.openxmlformats.org/officeDocument/2006/relationships/hyperlink" Target="http://www.neighbourhood.statistics.gov.uk/dissemination/"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chart" Target="charts/chart6.xm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glossaryDocument" Target="glossary/document.xml"/><Relationship Id="rId30"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ldc-nas\user\t.dugdale\LAP%20Profiles\LAP%20Profile%20Updates%202013\LAP%20profile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Kendal!$A$4</c:f>
              <c:strCache>
                <c:ptCount val="1"/>
                <c:pt idx="0">
                  <c:v>0-15 years</c:v>
                </c:pt>
              </c:strCache>
            </c:strRef>
          </c:tx>
          <c:marker>
            <c:symbol val="none"/>
          </c:marker>
          <c:cat>
            <c:numRef>
              <c:f>Kendal!$B$3:$D$3</c:f>
              <c:numCache>
                <c:formatCode>General</c:formatCode>
                <c:ptCount val="3"/>
                <c:pt idx="0">
                  <c:v>2001</c:v>
                </c:pt>
                <c:pt idx="1">
                  <c:v>2008</c:v>
                </c:pt>
                <c:pt idx="2">
                  <c:v>2011</c:v>
                </c:pt>
              </c:numCache>
            </c:numRef>
          </c:cat>
          <c:val>
            <c:numRef>
              <c:f>Kendal!$B$4:$D$4</c:f>
              <c:numCache>
                <c:formatCode>0.0%</c:formatCode>
                <c:ptCount val="3"/>
                <c:pt idx="0">
                  <c:v>0.19098616688978134</c:v>
                </c:pt>
                <c:pt idx="1">
                  <c:v>0.18398856325947105</c:v>
                </c:pt>
                <c:pt idx="2">
                  <c:v>0.17208577773358524</c:v>
                </c:pt>
              </c:numCache>
            </c:numRef>
          </c:val>
          <c:smooth val="0"/>
        </c:ser>
        <c:ser>
          <c:idx val="1"/>
          <c:order val="1"/>
          <c:tx>
            <c:strRef>
              <c:f>Kendal!$A$5</c:f>
              <c:strCache>
                <c:ptCount val="1"/>
                <c:pt idx="0">
                  <c:v>16-64 years</c:v>
                </c:pt>
              </c:strCache>
            </c:strRef>
          </c:tx>
          <c:marker>
            <c:symbol val="none"/>
          </c:marker>
          <c:cat>
            <c:numRef>
              <c:f>Kendal!$B$3:$D$3</c:f>
              <c:numCache>
                <c:formatCode>General</c:formatCode>
                <c:ptCount val="3"/>
                <c:pt idx="0">
                  <c:v>2001</c:v>
                </c:pt>
                <c:pt idx="1">
                  <c:v>2008</c:v>
                </c:pt>
                <c:pt idx="2">
                  <c:v>2011</c:v>
                </c:pt>
              </c:numCache>
            </c:numRef>
          </c:cat>
          <c:val>
            <c:numRef>
              <c:f>Kendal!$B$5:$D$5</c:f>
              <c:numCache>
                <c:formatCode>0.0%</c:formatCode>
                <c:ptCount val="3"/>
                <c:pt idx="0">
                  <c:v>0.63144887241272785</c:v>
                </c:pt>
                <c:pt idx="1">
                  <c:v>0.58799142244460334</c:v>
                </c:pt>
                <c:pt idx="2">
                  <c:v>0.63106957011699982</c:v>
                </c:pt>
              </c:numCache>
            </c:numRef>
          </c:val>
          <c:smooth val="0"/>
        </c:ser>
        <c:ser>
          <c:idx val="2"/>
          <c:order val="2"/>
          <c:tx>
            <c:strRef>
              <c:f>Kendal!$A$6</c:f>
              <c:strCache>
                <c:ptCount val="1"/>
                <c:pt idx="0">
                  <c:v>65+ years</c:v>
                </c:pt>
              </c:strCache>
            </c:strRef>
          </c:tx>
          <c:marker>
            <c:symbol val="none"/>
          </c:marker>
          <c:cat>
            <c:numRef>
              <c:f>Kendal!$B$3:$D$3</c:f>
              <c:numCache>
                <c:formatCode>General</c:formatCode>
                <c:ptCount val="3"/>
                <c:pt idx="0">
                  <c:v>2001</c:v>
                </c:pt>
                <c:pt idx="1">
                  <c:v>2008</c:v>
                </c:pt>
                <c:pt idx="2">
                  <c:v>2011</c:v>
                </c:pt>
              </c:numCache>
            </c:numRef>
          </c:cat>
          <c:val>
            <c:numRef>
              <c:f>Kendal!$B$6:$D$6</c:f>
              <c:numCache>
                <c:formatCode>0.0%</c:formatCode>
                <c:ptCount val="3"/>
                <c:pt idx="0">
                  <c:v>0.17756496069749081</c:v>
                </c:pt>
                <c:pt idx="1">
                  <c:v>0.22798427448177269</c:v>
                </c:pt>
                <c:pt idx="2">
                  <c:v>0.19684465214941499</c:v>
                </c:pt>
              </c:numCache>
            </c:numRef>
          </c:val>
          <c:smooth val="0"/>
        </c:ser>
        <c:dLbls>
          <c:showLegendKey val="0"/>
          <c:showVal val="0"/>
          <c:showCatName val="0"/>
          <c:showSerName val="0"/>
          <c:showPercent val="0"/>
          <c:showBubbleSize val="0"/>
        </c:dLbls>
        <c:marker val="1"/>
        <c:smooth val="0"/>
        <c:axId val="91541888"/>
        <c:axId val="91543424"/>
      </c:lineChart>
      <c:catAx>
        <c:axId val="91541888"/>
        <c:scaling>
          <c:orientation val="minMax"/>
        </c:scaling>
        <c:delete val="0"/>
        <c:axPos val="b"/>
        <c:numFmt formatCode="General" sourceLinked="1"/>
        <c:majorTickMark val="none"/>
        <c:minorTickMark val="none"/>
        <c:tickLblPos val="nextTo"/>
        <c:crossAx val="91543424"/>
        <c:crosses val="autoZero"/>
        <c:auto val="1"/>
        <c:lblAlgn val="ctr"/>
        <c:lblOffset val="100"/>
        <c:noMultiLvlLbl val="0"/>
      </c:catAx>
      <c:valAx>
        <c:axId val="91543424"/>
        <c:scaling>
          <c:orientation val="minMax"/>
        </c:scaling>
        <c:delete val="0"/>
        <c:axPos val="l"/>
        <c:majorGridlines/>
        <c:title>
          <c:tx>
            <c:rich>
              <a:bodyPr rot="-5400000" vert="horz"/>
              <a:lstStyle/>
              <a:p>
                <a:pPr>
                  <a:defRPr/>
                </a:pPr>
                <a:r>
                  <a:rPr lang="en-GB"/>
                  <a:t>Percentage of total population</a:t>
                </a:r>
              </a:p>
            </c:rich>
          </c:tx>
          <c:layout/>
          <c:overlay val="0"/>
        </c:title>
        <c:numFmt formatCode="0%" sourceLinked="0"/>
        <c:majorTickMark val="none"/>
        <c:minorTickMark val="none"/>
        <c:tickLblPos val="nextTo"/>
        <c:spPr>
          <a:ln w="9525">
            <a:noFill/>
          </a:ln>
        </c:spPr>
        <c:crossAx val="91541888"/>
        <c:crosses val="autoZero"/>
        <c:crossBetween val="between"/>
      </c:valAx>
    </c:plotArea>
    <c:legend>
      <c:legendPos val="b"/>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7"/>
          <c:cat>
            <c:strRef>
              <c:f>Kendal!$A$179:$A$187</c:f>
              <c:strCache>
                <c:ptCount val="9"/>
                <c:pt idx="0">
                  <c:v>Professional Occupations</c:v>
                </c:pt>
                <c:pt idx="1">
                  <c:v>Skilled Trades Occupations</c:v>
                </c:pt>
                <c:pt idx="2">
                  <c:v>Elementary Occupations</c:v>
                </c:pt>
                <c:pt idx="3">
                  <c:v>Sales &amp; Customer Service Occupations</c:v>
                </c:pt>
                <c:pt idx="4">
                  <c:v>Managers, Directors &amp; Senior Officials</c:v>
                </c:pt>
                <c:pt idx="5">
                  <c:v>Administrative &amp; Secretarial Occupation</c:v>
                </c:pt>
                <c:pt idx="6">
                  <c:v>Associate Professional &amp; Technical Occupation</c:v>
                </c:pt>
                <c:pt idx="7">
                  <c:v>Caring, Leisure &amp; Other Service Occupations</c:v>
                </c:pt>
                <c:pt idx="8">
                  <c:v>Process, Plant &amp; Machine Operatives</c:v>
                </c:pt>
              </c:strCache>
            </c:strRef>
          </c:cat>
          <c:val>
            <c:numRef>
              <c:f>Kendal!$B$179:$B$187</c:f>
              <c:numCache>
                <c:formatCode>0.0%</c:formatCode>
                <c:ptCount val="9"/>
                <c:pt idx="0">
                  <c:v>0.14492296034352109</c:v>
                </c:pt>
                <c:pt idx="1">
                  <c:v>0.13778732003031069</c:v>
                </c:pt>
                <c:pt idx="2">
                  <c:v>0.13020964890123768</c:v>
                </c:pt>
                <c:pt idx="3">
                  <c:v>0.10937105329628694</c:v>
                </c:pt>
                <c:pt idx="4">
                  <c:v>0.10431927254357161</c:v>
                </c:pt>
                <c:pt idx="5">
                  <c:v>0.1002147006819904</c:v>
                </c:pt>
                <c:pt idx="6">
                  <c:v>9.9646375347309926E-2</c:v>
                </c:pt>
                <c:pt idx="7">
                  <c:v>9.6867895933316489E-2</c:v>
                </c:pt>
                <c:pt idx="8">
                  <c:v>7.666077292245517E-2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350064350064351"/>
          <c:y val="3.1712537480802515E-2"/>
          <c:w val="0.34105534105534108"/>
          <c:h val="0.94895850093041778"/>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Kendal!$A$22</c:f>
              <c:strCache>
                <c:ptCount val="1"/>
                <c:pt idx="0">
                  <c:v>Kendal LAP</c:v>
                </c:pt>
              </c:strCache>
            </c:strRef>
          </c:tx>
          <c:invertIfNegative val="0"/>
          <c:dLbls>
            <c:dLbl>
              <c:idx val="0"/>
              <c:layout>
                <c:manualLayout>
                  <c:x val="-2.5462668816039986E-17"/>
                  <c:y val="-1.8518518518518517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Kendal!$B$21:$D$21</c:f>
              <c:strCache>
                <c:ptCount val="3"/>
                <c:pt idx="0">
                  <c:v>0-15 years</c:v>
                </c:pt>
                <c:pt idx="1">
                  <c:v>16-64 years</c:v>
                </c:pt>
                <c:pt idx="2">
                  <c:v>65+ years</c:v>
                </c:pt>
              </c:strCache>
            </c:strRef>
          </c:cat>
          <c:val>
            <c:numRef>
              <c:f>Kendal!$B$22:$D$22</c:f>
              <c:numCache>
                <c:formatCode>0.0%</c:formatCode>
                <c:ptCount val="3"/>
                <c:pt idx="0">
                  <c:v>0.17208577773358524</c:v>
                </c:pt>
                <c:pt idx="1">
                  <c:v>0.63106957011699982</c:v>
                </c:pt>
                <c:pt idx="2">
                  <c:v>0.19684465214941499</c:v>
                </c:pt>
              </c:numCache>
            </c:numRef>
          </c:val>
        </c:ser>
        <c:ser>
          <c:idx val="1"/>
          <c:order val="1"/>
          <c:tx>
            <c:strRef>
              <c:f>Kendal!$A$23</c:f>
              <c:strCache>
                <c:ptCount val="1"/>
                <c:pt idx="0">
                  <c:v>South Lakeland</c:v>
                </c:pt>
              </c:strCache>
            </c:strRef>
          </c:tx>
          <c:invertIfNegative val="0"/>
          <c:dLbls>
            <c:dLbl>
              <c:idx val="0"/>
              <c:layout>
                <c:manualLayout>
                  <c:x val="0"/>
                  <c:y val="2.3148148148148147E-2"/>
                </c:manualLayout>
              </c:layout>
              <c:dLblPos val="outEnd"/>
              <c:showLegendKey val="0"/>
              <c:showVal val="1"/>
              <c:showCatName val="0"/>
              <c:showSerName val="0"/>
              <c:showPercent val="0"/>
              <c:showBubbleSize val="0"/>
            </c:dLbl>
            <c:dLbl>
              <c:idx val="2"/>
              <c:layout>
                <c:manualLayout>
                  <c:x val="-1.0185067526415994E-16"/>
                  <c:y val="1.388888888888888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Kendal!$B$21:$D$21</c:f>
              <c:strCache>
                <c:ptCount val="3"/>
                <c:pt idx="0">
                  <c:v>0-15 years</c:v>
                </c:pt>
                <c:pt idx="1">
                  <c:v>16-64 years</c:v>
                </c:pt>
                <c:pt idx="2">
                  <c:v>65+ years</c:v>
                </c:pt>
              </c:strCache>
            </c:strRef>
          </c:cat>
          <c:val>
            <c:numRef>
              <c:f>Kendal!$B$23:$D$23</c:f>
              <c:numCache>
                <c:formatCode>0.0%</c:formatCode>
                <c:ptCount val="3"/>
                <c:pt idx="0">
                  <c:v>0.153</c:v>
                </c:pt>
                <c:pt idx="1">
                  <c:v>0.60599999999999998</c:v>
                </c:pt>
                <c:pt idx="2">
                  <c:v>0.24299999999999999</c:v>
                </c:pt>
              </c:numCache>
            </c:numRef>
          </c:val>
        </c:ser>
        <c:dLbls>
          <c:dLblPos val="outEnd"/>
          <c:showLegendKey val="0"/>
          <c:showVal val="1"/>
          <c:showCatName val="0"/>
          <c:showSerName val="0"/>
          <c:showPercent val="0"/>
          <c:showBubbleSize val="0"/>
        </c:dLbls>
        <c:gapWidth val="75"/>
        <c:overlap val="-25"/>
        <c:axId val="24621056"/>
        <c:axId val="24622208"/>
      </c:barChart>
      <c:catAx>
        <c:axId val="24621056"/>
        <c:scaling>
          <c:orientation val="minMax"/>
        </c:scaling>
        <c:delete val="0"/>
        <c:axPos val="b"/>
        <c:majorTickMark val="none"/>
        <c:minorTickMark val="none"/>
        <c:tickLblPos val="nextTo"/>
        <c:crossAx val="24622208"/>
        <c:crosses val="autoZero"/>
        <c:auto val="1"/>
        <c:lblAlgn val="ctr"/>
        <c:lblOffset val="100"/>
        <c:noMultiLvlLbl val="0"/>
      </c:catAx>
      <c:valAx>
        <c:axId val="24622208"/>
        <c:scaling>
          <c:orientation val="minMax"/>
        </c:scaling>
        <c:delete val="0"/>
        <c:axPos val="l"/>
        <c:majorGridlines/>
        <c:title>
          <c:tx>
            <c:rich>
              <a:bodyPr rot="-5400000" vert="horz"/>
              <a:lstStyle/>
              <a:p>
                <a:pPr>
                  <a:defRPr/>
                </a:pPr>
                <a:r>
                  <a:rPr lang="en-GB"/>
                  <a:t>Percentage of total population</a:t>
                </a:r>
              </a:p>
            </c:rich>
          </c:tx>
          <c:layout/>
          <c:overlay val="0"/>
        </c:title>
        <c:numFmt formatCode="0%" sourceLinked="0"/>
        <c:majorTickMark val="none"/>
        <c:minorTickMark val="none"/>
        <c:tickLblPos val="nextTo"/>
        <c:spPr>
          <a:ln w="9525">
            <a:noFill/>
          </a:ln>
        </c:spPr>
        <c:crossAx val="24621056"/>
        <c:crosses val="autoZero"/>
        <c:crossBetween val="between"/>
      </c:valAx>
    </c:plotArea>
    <c:legend>
      <c:legendPos val="b"/>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Kendal!$A$38:$A$53</c:f>
              <c:strCache>
                <c:ptCount val="16"/>
                <c:pt idx="0">
                  <c:v>0-4</c:v>
                </c:pt>
                <c:pt idx="1">
                  <c:v>5-7</c:v>
                </c:pt>
                <c:pt idx="2">
                  <c:v>8-9</c:v>
                </c:pt>
                <c:pt idx="3">
                  <c:v>10-14</c:v>
                </c:pt>
                <c:pt idx="4">
                  <c:v>15</c:v>
                </c:pt>
                <c:pt idx="5">
                  <c:v>16-17</c:v>
                </c:pt>
                <c:pt idx="6">
                  <c:v>18-19</c:v>
                </c:pt>
                <c:pt idx="7">
                  <c:v>20-24</c:v>
                </c:pt>
                <c:pt idx="8">
                  <c:v>25-29</c:v>
                </c:pt>
                <c:pt idx="9">
                  <c:v>30-44</c:v>
                </c:pt>
                <c:pt idx="10">
                  <c:v>45-59</c:v>
                </c:pt>
                <c:pt idx="11">
                  <c:v>60-64</c:v>
                </c:pt>
                <c:pt idx="12">
                  <c:v>65-74</c:v>
                </c:pt>
                <c:pt idx="13">
                  <c:v>75-84</c:v>
                </c:pt>
                <c:pt idx="14">
                  <c:v>85-89</c:v>
                </c:pt>
                <c:pt idx="15">
                  <c:v>90+</c:v>
                </c:pt>
              </c:strCache>
            </c:strRef>
          </c:cat>
          <c:val>
            <c:numRef>
              <c:f>Kendal!$B$38:$B$53</c:f>
              <c:numCache>
                <c:formatCode>0.0%</c:formatCode>
                <c:ptCount val="16"/>
                <c:pt idx="0">
                  <c:v>-5.2631578947368418E-2</c:v>
                </c:pt>
                <c:pt idx="1">
                  <c:v>-8.3175803402646506E-2</c:v>
                </c:pt>
                <c:pt idx="2">
                  <c:v>-0.15374149659863945</c:v>
                </c:pt>
                <c:pt idx="3">
                  <c:v>-4.312354312354312E-2</c:v>
                </c:pt>
                <c:pt idx="4">
                  <c:v>-2.0289855072463767E-2</c:v>
                </c:pt>
                <c:pt idx="5">
                  <c:v>0.1729200652528548</c:v>
                </c:pt>
                <c:pt idx="6">
                  <c:v>3.6971830985915492E-2</c:v>
                </c:pt>
                <c:pt idx="7">
                  <c:v>0.11764705882352941</c:v>
                </c:pt>
                <c:pt idx="8">
                  <c:v>-0.12572330352446082</c:v>
                </c:pt>
                <c:pt idx="9">
                  <c:v>-0.10650357995226731</c:v>
                </c:pt>
                <c:pt idx="10">
                  <c:v>0.1068028388436905</c:v>
                </c:pt>
                <c:pt idx="11">
                  <c:v>0.45121951219512196</c:v>
                </c:pt>
                <c:pt idx="12">
                  <c:v>0.16307692307692306</c:v>
                </c:pt>
                <c:pt idx="13">
                  <c:v>5.502136752136752E-2</c:v>
                </c:pt>
                <c:pt idx="14">
                  <c:v>0.27408993576017132</c:v>
                </c:pt>
                <c:pt idx="15">
                  <c:v>0.47435897435897434</c:v>
                </c:pt>
              </c:numCache>
            </c:numRef>
          </c:val>
        </c:ser>
        <c:dLbls>
          <c:showLegendKey val="0"/>
          <c:showVal val="0"/>
          <c:showCatName val="0"/>
          <c:showSerName val="0"/>
          <c:showPercent val="0"/>
          <c:showBubbleSize val="0"/>
        </c:dLbls>
        <c:gapWidth val="150"/>
        <c:axId val="91563136"/>
        <c:axId val="91565056"/>
      </c:barChart>
      <c:catAx>
        <c:axId val="91563136"/>
        <c:scaling>
          <c:orientation val="minMax"/>
        </c:scaling>
        <c:delete val="0"/>
        <c:axPos val="l"/>
        <c:title>
          <c:tx>
            <c:rich>
              <a:bodyPr rot="-5400000" vert="horz"/>
              <a:lstStyle/>
              <a:p>
                <a:pPr>
                  <a:defRPr/>
                </a:pPr>
                <a:r>
                  <a:rPr lang="en-GB"/>
                  <a:t>Age Range</a:t>
                </a:r>
              </a:p>
            </c:rich>
          </c:tx>
          <c:layout/>
          <c:overlay val="0"/>
        </c:title>
        <c:majorTickMark val="out"/>
        <c:minorTickMark val="none"/>
        <c:tickLblPos val="low"/>
        <c:crossAx val="91565056"/>
        <c:crosses val="autoZero"/>
        <c:auto val="1"/>
        <c:lblAlgn val="ctr"/>
        <c:lblOffset val="100"/>
        <c:noMultiLvlLbl val="0"/>
      </c:catAx>
      <c:valAx>
        <c:axId val="91565056"/>
        <c:scaling>
          <c:orientation val="minMax"/>
        </c:scaling>
        <c:delete val="0"/>
        <c:axPos val="b"/>
        <c:majorGridlines/>
        <c:title>
          <c:tx>
            <c:rich>
              <a:bodyPr/>
              <a:lstStyle/>
              <a:p>
                <a:pPr>
                  <a:defRPr/>
                </a:pPr>
                <a:r>
                  <a:rPr lang="en-GB"/>
                  <a:t>Percentage increase/decrease</a:t>
                </a:r>
                <a:r>
                  <a:rPr lang="en-GB" baseline="0"/>
                  <a:t> in population</a:t>
                </a:r>
                <a:endParaRPr lang="en-GB"/>
              </a:p>
            </c:rich>
          </c:tx>
          <c:layout/>
          <c:overlay val="0"/>
        </c:title>
        <c:numFmt formatCode="0%" sourceLinked="0"/>
        <c:majorTickMark val="out"/>
        <c:minorTickMark val="none"/>
        <c:tickLblPos val="nextTo"/>
        <c:crossAx val="9156313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8.9743589743589744E-2"/>
                  <c:y val="-0.27540983606557379"/>
                </c:manualLayout>
              </c:layout>
              <c:dLblPos val="bestFit"/>
              <c:showLegendKey val="0"/>
              <c:showVal val="0"/>
              <c:showCatName val="1"/>
              <c:showSerName val="0"/>
              <c:showPercent val="0"/>
              <c:showBubbleSize val="0"/>
            </c:dLbl>
            <c:dLblPos val="outEnd"/>
            <c:showLegendKey val="0"/>
            <c:showVal val="0"/>
            <c:showCatName val="1"/>
            <c:showSerName val="0"/>
            <c:showPercent val="0"/>
            <c:showBubbleSize val="0"/>
            <c:showLeaderLines val="0"/>
          </c:dLbls>
          <c:cat>
            <c:strRef>
              <c:f>Kendal!$A$83:$A$86</c:f>
              <c:strCache>
                <c:ptCount val="4"/>
                <c:pt idx="0">
                  <c:v>Owned outright</c:v>
                </c:pt>
                <c:pt idx="1">
                  <c:v>Owned with mortgage</c:v>
                </c:pt>
                <c:pt idx="2">
                  <c:v>Private rented</c:v>
                </c:pt>
                <c:pt idx="3">
                  <c:v>Social rented</c:v>
                </c:pt>
              </c:strCache>
            </c:strRef>
          </c:cat>
          <c:val>
            <c:numRef>
              <c:f>Kendal!$B$83:$B$86</c:f>
              <c:numCache>
                <c:formatCode>0.0%</c:formatCode>
                <c:ptCount val="4"/>
                <c:pt idx="0">
                  <c:v>0.38700000000000001</c:v>
                </c:pt>
                <c:pt idx="1">
                  <c:v>0.33100000000000002</c:v>
                </c:pt>
                <c:pt idx="2">
                  <c:v>0.13900000000000001</c:v>
                </c:pt>
                <c:pt idx="3">
                  <c:v>4.3999999999999997E-2</c:v>
                </c:pt>
              </c:numCache>
            </c:numRef>
          </c:val>
        </c:ser>
        <c:dLbls>
          <c:showLegendKey val="0"/>
          <c:showVal val="1"/>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12803532008830021"/>
                  <c:y val="-0.15300546448087432"/>
                </c:manualLayout>
              </c:layout>
              <c:dLblPos val="bestFit"/>
              <c:showLegendKey val="0"/>
              <c:showVal val="0"/>
              <c:showCatName val="1"/>
              <c:showSerName val="0"/>
              <c:showPercent val="0"/>
              <c:showBubbleSize val="0"/>
            </c:dLbl>
            <c:dLbl>
              <c:idx val="2"/>
              <c:layout>
                <c:manualLayout>
                  <c:x val="1.7660044150110375E-2"/>
                  <c:y val="0.19672131147540983"/>
                </c:manualLayout>
              </c:layout>
              <c:dLblPos val="bestFit"/>
              <c:showLegendKey val="0"/>
              <c:showVal val="0"/>
              <c:showCatName val="1"/>
              <c:showSerName val="0"/>
              <c:showPercent val="0"/>
              <c:showBubbleSize val="0"/>
            </c:dLbl>
            <c:dLblPos val="outEnd"/>
            <c:showLegendKey val="0"/>
            <c:showVal val="0"/>
            <c:showCatName val="1"/>
            <c:showSerName val="0"/>
            <c:showPercent val="0"/>
            <c:showBubbleSize val="0"/>
            <c:showLeaderLines val="0"/>
          </c:dLbls>
          <c:cat>
            <c:strRef>
              <c:f>Kendal!$A$65:$A$69</c:f>
              <c:strCache>
                <c:ptCount val="5"/>
                <c:pt idx="0">
                  <c:v>Semi-detached</c:v>
                </c:pt>
                <c:pt idx="1">
                  <c:v>Terraced</c:v>
                </c:pt>
                <c:pt idx="2">
                  <c:v>Detached </c:v>
                </c:pt>
                <c:pt idx="3">
                  <c:v>Flat</c:v>
                </c:pt>
                <c:pt idx="4">
                  <c:v>Shared House</c:v>
                </c:pt>
              </c:strCache>
            </c:strRef>
          </c:cat>
          <c:val>
            <c:numRef>
              <c:f>Kendal!$B$65:$B$69</c:f>
              <c:numCache>
                <c:formatCode>0.0%</c:formatCode>
                <c:ptCount val="5"/>
                <c:pt idx="0">
                  <c:v>0.33082124242851108</c:v>
                </c:pt>
                <c:pt idx="1">
                  <c:v>0.28842090435272572</c:v>
                </c:pt>
                <c:pt idx="2">
                  <c:v>0.1903789266093816</c:v>
                </c:pt>
                <c:pt idx="3">
                  <c:v>0.1409353430060572</c:v>
                </c:pt>
                <c:pt idx="4">
                  <c:v>3.4652767995492322E-2</c:v>
                </c:pt>
              </c:numCache>
            </c:numRef>
          </c:val>
        </c:ser>
        <c:dLbls>
          <c:showLegendKey val="0"/>
          <c:showVal val="1"/>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Kendal!$B$101</c:f>
              <c:strCache>
                <c:ptCount val="1"/>
                <c:pt idx="0">
                  <c:v>Kendal LAP</c:v>
                </c:pt>
              </c:strCache>
            </c:strRef>
          </c:tx>
          <c:invertIfNegative val="0"/>
          <c:cat>
            <c:strRef>
              <c:f>Kendal!$A$102:$A$107</c:f>
              <c:strCache>
                <c:ptCount val="6"/>
                <c:pt idx="0">
                  <c:v>No Qualifications</c:v>
                </c:pt>
                <c:pt idx="1">
                  <c:v>Apprenticeship</c:v>
                </c:pt>
                <c:pt idx="2">
                  <c:v>Level 1</c:v>
                </c:pt>
                <c:pt idx="3">
                  <c:v>Level 2</c:v>
                </c:pt>
                <c:pt idx="4">
                  <c:v>Level 3</c:v>
                </c:pt>
                <c:pt idx="5">
                  <c:v>Level 4 and above</c:v>
                </c:pt>
              </c:strCache>
            </c:strRef>
          </c:cat>
          <c:val>
            <c:numRef>
              <c:f>Kendal!$B$102:$B$107</c:f>
              <c:numCache>
                <c:formatCode>0.0%</c:formatCode>
                <c:ptCount val="6"/>
                <c:pt idx="0">
                  <c:v>0.20989631290283839</c:v>
                </c:pt>
                <c:pt idx="1">
                  <c:v>4.2115376916609951E-2</c:v>
                </c:pt>
                <c:pt idx="2">
                  <c:v>0.13103006525481403</c:v>
                </c:pt>
                <c:pt idx="3">
                  <c:v>0.16221626165979422</c:v>
                </c:pt>
                <c:pt idx="4">
                  <c:v>0.1249849873894071</c:v>
                </c:pt>
                <c:pt idx="5">
                  <c:v>0.29108451098923094</c:v>
                </c:pt>
              </c:numCache>
            </c:numRef>
          </c:val>
        </c:ser>
        <c:ser>
          <c:idx val="1"/>
          <c:order val="1"/>
          <c:tx>
            <c:strRef>
              <c:f>Kendal!$C$101</c:f>
              <c:strCache>
                <c:ptCount val="1"/>
                <c:pt idx="0">
                  <c:v>South Lakeland </c:v>
                </c:pt>
              </c:strCache>
            </c:strRef>
          </c:tx>
          <c:invertIfNegative val="0"/>
          <c:cat>
            <c:strRef>
              <c:f>Kendal!$A$102:$A$107</c:f>
              <c:strCache>
                <c:ptCount val="6"/>
                <c:pt idx="0">
                  <c:v>No Qualifications</c:v>
                </c:pt>
                <c:pt idx="1">
                  <c:v>Apprenticeship</c:v>
                </c:pt>
                <c:pt idx="2">
                  <c:v>Level 1</c:v>
                </c:pt>
                <c:pt idx="3">
                  <c:v>Level 2</c:v>
                </c:pt>
                <c:pt idx="4">
                  <c:v>Level 3</c:v>
                </c:pt>
                <c:pt idx="5">
                  <c:v>Level 4 and above</c:v>
                </c:pt>
              </c:strCache>
            </c:strRef>
          </c:cat>
          <c:val>
            <c:numRef>
              <c:f>Kendal!$C$102:$C$107</c:f>
              <c:numCache>
                <c:formatCode>0.0%</c:formatCode>
                <c:ptCount val="6"/>
                <c:pt idx="0">
                  <c:v>0.189</c:v>
                </c:pt>
                <c:pt idx="1">
                  <c:v>4.5999999999999999E-2</c:v>
                </c:pt>
                <c:pt idx="2">
                  <c:v>0.12</c:v>
                </c:pt>
                <c:pt idx="3">
                  <c:v>0.154</c:v>
                </c:pt>
                <c:pt idx="4">
                  <c:v>0.11799999999999999</c:v>
                </c:pt>
                <c:pt idx="5">
                  <c:v>0.33400000000000002</c:v>
                </c:pt>
              </c:numCache>
            </c:numRef>
          </c:val>
        </c:ser>
        <c:dLbls>
          <c:showLegendKey val="0"/>
          <c:showVal val="0"/>
          <c:showCatName val="0"/>
          <c:showSerName val="0"/>
          <c:showPercent val="0"/>
          <c:showBubbleSize val="0"/>
        </c:dLbls>
        <c:gapWidth val="75"/>
        <c:overlap val="-25"/>
        <c:axId val="91720704"/>
        <c:axId val="91726592"/>
      </c:barChart>
      <c:catAx>
        <c:axId val="91720704"/>
        <c:scaling>
          <c:orientation val="minMax"/>
        </c:scaling>
        <c:delete val="0"/>
        <c:axPos val="b"/>
        <c:majorTickMark val="none"/>
        <c:minorTickMark val="none"/>
        <c:tickLblPos val="nextTo"/>
        <c:crossAx val="91726592"/>
        <c:crosses val="autoZero"/>
        <c:auto val="1"/>
        <c:lblAlgn val="ctr"/>
        <c:lblOffset val="100"/>
        <c:noMultiLvlLbl val="0"/>
      </c:catAx>
      <c:valAx>
        <c:axId val="91726592"/>
        <c:scaling>
          <c:orientation val="minMax"/>
        </c:scaling>
        <c:delete val="0"/>
        <c:axPos val="l"/>
        <c:majorGridlines/>
        <c:title>
          <c:tx>
            <c:rich>
              <a:bodyPr rot="-5400000" vert="horz"/>
              <a:lstStyle/>
              <a:p>
                <a:pPr>
                  <a:defRPr/>
                </a:pPr>
                <a:r>
                  <a:rPr lang="en-GB"/>
                  <a:t>Percentage of over 16 year olds</a:t>
                </a:r>
              </a:p>
            </c:rich>
          </c:tx>
          <c:layout/>
          <c:overlay val="0"/>
        </c:title>
        <c:numFmt formatCode="0%" sourceLinked="0"/>
        <c:majorTickMark val="none"/>
        <c:minorTickMark val="none"/>
        <c:tickLblPos val="nextTo"/>
        <c:spPr>
          <a:ln w="9525">
            <a:noFill/>
          </a:ln>
        </c:spPr>
        <c:crossAx val="91720704"/>
        <c:crosses val="autoZero"/>
        <c:crossBetween val="between"/>
      </c:valAx>
    </c:plotArea>
    <c:legend>
      <c:legendPos val="b"/>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Kendal!$B$119</c:f>
              <c:strCache>
                <c:ptCount val="1"/>
                <c:pt idx="0">
                  <c:v>Kendal LAP</c:v>
                </c:pt>
              </c:strCache>
            </c:strRef>
          </c:tx>
          <c:invertIfNegative val="0"/>
          <c:cat>
            <c:strRef>
              <c:f>Kendal!$A$120:$A$124</c:f>
              <c:strCache>
                <c:ptCount val="5"/>
                <c:pt idx="0">
                  <c:v>Full-time</c:v>
                </c:pt>
                <c:pt idx="1">
                  <c:v>Part-time</c:v>
                </c:pt>
                <c:pt idx="2">
                  <c:v>Self-employed</c:v>
                </c:pt>
                <c:pt idx="3">
                  <c:v>Unemployed</c:v>
                </c:pt>
                <c:pt idx="4">
                  <c:v>Full-time student</c:v>
                </c:pt>
              </c:strCache>
            </c:strRef>
          </c:cat>
          <c:val>
            <c:numRef>
              <c:f>Kendal!$B$120:$B$124</c:f>
              <c:numCache>
                <c:formatCode>0.0%</c:formatCode>
                <c:ptCount val="5"/>
                <c:pt idx="0">
                  <c:v>0.40799999999999997</c:v>
                </c:pt>
                <c:pt idx="1">
                  <c:v>0.17899999999999999</c:v>
                </c:pt>
                <c:pt idx="2">
                  <c:v>0.104</c:v>
                </c:pt>
                <c:pt idx="3">
                  <c:v>2.1999999999999999E-2</c:v>
                </c:pt>
                <c:pt idx="4">
                  <c:v>0.03</c:v>
                </c:pt>
              </c:numCache>
            </c:numRef>
          </c:val>
        </c:ser>
        <c:ser>
          <c:idx val="1"/>
          <c:order val="1"/>
          <c:tx>
            <c:strRef>
              <c:f>Kendal!$C$119</c:f>
              <c:strCache>
                <c:ptCount val="1"/>
                <c:pt idx="0">
                  <c:v>South Lakeland </c:v>
                </c:pt>
              </c:strCache>
            </c:strRef>
          </c:tx>
          <c:invertIfNegative val="0"/>
          <c:cat>
            <c:strRef>
              <c:f>Kendal!$A$120:$A$124</c:f>
              <c:strCache>
                <c:ptCount val="5"/>
                <c:pt idx="0">
                  <c:v>Full-time</c:v>
                </c:pt>
                <c:pt idx="1">
                  <c:v>Part-time</c:v>
                </c:pt>
                <c:pt idx="2">
                  <c:v>Self-employed</c:v>
                </c:pt>
                <c:pt idx="3">
                  <c:v>Unemployed</c:v>
                </c:pt>
                <c:pt idx="4">
                  <c:v>Full-time student</c:v>
                </c:pt>
              </c:strCache>
            </c:strRef>
          </c:cat>
          <c:val>
            <c:numRef>
              <c:f>Kendal!$C$120:$C$124</c:f>
              <c:numCache>
                <c:formatCode>0.0%</c:formatCode>
                <c:ptCount val="5"/>
                <c:pt idx="0">
                  <c:v>0.35399999999999998</c:v>
                </c:pt>
                <c:pt idx="1">
                  <c:v>0.158</c:v>
                </c:pt>
                <c:pt idx="2">
                  <c:v>0.14599999999999999</c:v>
                </c:pt>
                <c:pt idx="3">
                  <c:v>0.02</c:v>
                </c:pt>
                <c:pt idx="4">
                  <c:v>2.5000000000000001E-2</c:v>
                </c:pt>
              </c:numCache>
            </c:numRef>
          </c:val>
        </c:ser>
        <c:dLbls>
          <c:showLegendKey val="0"/>
          <c:showVal val="0"/>
          <c:showCatName val="0"/>
          <c:showSerName val="0"/>
          <c:showPercent val="0"/>
          <c:showBubbleSize val="0"/>
        </c:dLbls>
        <c:gapWidth val="75"/>
        <c:overlap val="-25"/>
        <c:axId val="91739648"/>
        <c:axId val="91741184"/>
      </c:barChart>
      <c:catAx>
        <c:axId val="91739648"/>
        <c:scaling>
          <c:orientation val="minMax"/>
        </c:scaling>
        <c:delete val="0"/>
        <c:axPos val="b"/>
        <c:majorTickMark val="none"/>
        <c:minorTickMark val="none"/>
        <c:tickLblPos val="nextTo"/>
        <c:crossAx val="91741184"/>
        <c:crosses val="autoZero"/>
        <c:auto val="1"/>
        <c:lblAlgn val="ctr"/>
        <c:lblOffset val="100"/>
        <c:noMultiLvlLbl val="0"/>
      </c:catAx>
      <c:valAx>
        <c:axId val="91741184"/>
        <c:scaling>
          <c:orientation val="minMax"/>
        </c:scaling>
        <c:delete val="0"/>
        <c:axPos val="l"/>
        <c:majorGridlines/>
        <c:title>
          <c:tx>
            <c:rich>
              <a:bodyPr rot="-5400000" vert="horz"/>
              <a:lstStyle/>
              <a:p>
                <a:pPr>
                  <a:defRPr/>
                </a:pPr>
                <a:r>
                  <a:rPr lang="en-GB"/>
                  <a:t>Percentage of working age population</a:t>
                </a:r>
              </a:p>
            </c:rich>
          </c:tx>
          <c:layout/>
          <c:overlay val="0"/>
        </c:title>
        <c:numFmt formatCode="0%" sourceLinked="0"/>
        <c:majorTickMark val="none"/>
        <c:minorTickMark val="none"/>
        <c:tickLblPos val="nextTo"/>
        <c:spPr>
          <a:ln w="9525">
            <a:noFill/>
          </a:ln>
        </c:spPr>
        <c:crossAx val="91739648"/>
        <c:crosses val="autoZero"/>
        <c:crossBetween val="between"/>
      </c:valAx>
    </c:plotArea>
    <c:legend>
      <c:legendPos val="b"/>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Kendal!$B$137</c:f>
              <c:strCache>
                <c:ptCount val="1"/>
                <c:pt idx="0">
                  <c:v>Kendal LAP</c:v>
                </c:pt>
              </c:strCache>
            </c:strRef>
          </c:tx>
          <c:invertIfNegative val="0"/>
          <c:cat>
            <c:strRef>
              <c:f>Kendal!$A$138:$A$141</c:f>
              <c:strCache>
                <c:ptCount val="4"/>
                <c:pt idx="0">
                  <c:v>Retired</c:v>
                </c:pt>
                <c:pt idx="1">
                  <c:v>Student</c:v>
                </c:pt>
                <c:pt idx="2">
                  <c:v>Looking after home/family</c:v>
                </c:pt>
                <c:pt idx="3">
                  <c:v>Long-term sick/disabled</c:v>
                </c:pt>
              </c:strCache>
            </c:strRef>
          </c:cat>
          <c:val>
            <c:numRef>
              <c:f>Kendal!$B$138:$B$141</c:f>
              <c:numCache>
                <c:formatCode>0.0%</c:formatCode>
                <c:ptCount val="4"/>
                <c:pt idx="0">
                  <c:v>0.16900000000000001</c:v>
                </c:pt>
                <c:pt idx="1">
                  <c:v>2.3E-2</c:v>
                </c:pt>
                <c:pt idx="2">
                  <c:v>2.1999999999999999E-2</c:v>
                </c:pt>
                <c:pt idx="3">
                  <c:v>3.1E-2</c:v>
                </c:pt>
              </c:numCache>
            </c:numRef>
          </c:val>
        </c:ser>
        <c:ser>
          <c:idx val="1"/>
          <c:order val="1"/>
          <c:tx>
            <c:strRef>
              <c:f>Kendal!$C$137</c:f>
              <c:strCache>
                <c:ptCount val="1"/>
                <c:pt idx="0">
                  <c:v>South Lakeland </c:v>
                </c:pt>
              </c:strCache>
            </c:strRef>
          </c:tx>
          <c:invertIfNegative val="0"/>
          <c:cat>
            <c:strRef>
              <c:f>Kendal!$A$138:$A$141</c:f>
              <c:strCache>
                <c:ptCount val="4"/>
                <c:pt idx="0">
                  <c:v>Retired</c:v>
                </c:pt>
                <c:pt idx="1">
                  <c:v>Student</c:v>
                </c:pt>
                <c:pt idx="2">
                  <c:v>Looking after home/family</c:v>
                </c:pt>
                <c:pt idx="3">
                  <c:v>Long-term sick/disabled</c:v>
                </c:pt>
              </c:strCache>
            </c:strRef>
          </c:cat>
          <c:val>
            <c:numRef>
              <c:f>Kendal!$C$138:$C$141</c:f>
              <c:numCache>
                <c:formatCode>0.0%</c:formatCode>
                <c:ptCount val="4"/>
                <c:pt idx="0">
                  <c:v>0.20399999999999999</c:v>
                </c:pt>
                <c:pt idx="1">
                  <c:v>0.03</c:v>
                </c:pt>
                <c:pt idx="2">
                  <c:v>2.3E-2</c:v>
                </c:pt>
                <c:pt idx="3">
                  <c:v>2.5999999999999999E-2</c:v>
                </c:pt>
              </c:numCache>
            </c:numRef>
          </c:val>
        </c:ser>
        <c:dLbls>
          <c:showLegendKey val="0"/>
          <c:showVal val="0"/>
          <c:showCatName val="0"/>
          <c:showSerName val="0"/>
          <c:showPercent val="0"/>
          <c:showBubbleSize val="0"/>
        </c:dLbls>
        <c:gapWidth val="75"/>
        <c:overlap val="-25"/>
        <c:axId val="144021376"/>
        <c:axId val="144022912"/>
      </c:barChart>
      <c:catAx>
        <c:axId val="144021376"/>
        <c:scaling>
          <c:orientation val="minMax"/>
        </c:scaling>
        <c:delete val="0"/>
        <c:axPos val="b"/>
        <c:majorTickMark val="none"/>
        <c:minorTickMark val="none"/>
        <c:tickLblPos val="nextTo"/>
        <c:crossAx val="144022912"/>
        <c:crosses val="autoZero"/>
        <c:auto val="1"/>
        <c:lblAlgn val="ctr"/>
        <c:lblOffset val="100"/>
        <c:noMultiLvlLbl val="0"/>
      </c:catAx>
      <c:valAx>
        <c:axId val="144022912"/>
        <c:scaling>
          <c:orientation val="minMax"/>
        </c:scaling>
        <c:delete val="0"/>
        <c:axPos val="l"/>
        <c:majorGridlines/>
        <c:title>
          <c:tx>
            <c:rich>
              <a:bodyPr rot="-5400000" vert="horz"/>
              <a:lstStyle/>
              <a:p>
                <a:pPr>
                  <a:defRPr/>
                </a:pPr>
                <a:r>
                  <a:rPr lang="en-GB"/>
                  <a:t>Percentage</a:t>
                </a:r>
                <a:r>
                  <a:rPr lang="en-GB" baseline="0"/>
                  <a:t> of working age population</a:t>
                </a:r>
                <a:endParaRPr lang="en-GB"/>
              </a:p>
            </c:rich>
          </c:tx>
          <c:layout/>
          <c:overlay val="0"/>
        </c:title>
        <c:numFmt formatCode="0%" sourceLinked="0"/>
        <c:majorTickMark val="none"/>
        <c:minorTickMark val="none"/>
        <c:tickLblPos val="nextTo"/>
        <c:spPr>
          <a:ln w="9525">
            <a:noFill/>
          </a:ln>
        </c:spPr>
        <c:crossAx val="144021376"/>
        <c:crosses val="autoZero"/>
        <c:crossBetween val="between"/>
      </c:valAx>
    </c:plotArea>
    <c:legend>
      <c:legendPos val="b"/>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Kendal!$A$154:$A$171</c:f>
              <c:strCache>
                <c:ptCount val="18"/>
                <c:pt idx="0">
                  <c:v>Mining &amp; Quarrying</c:v>
                </c:pt>
                <c:pt idx="1">
                  <c:v>Water Supply</c:v>
                </c:pt>
                <c:pt idx="2">
                  <c:v>Electricity &amp; Gas</c:v>
                </c:pt>
                <c:pt idx="3">
                  <c:v>Agriculture, Forestry &amp; Fishing</c:v>
                </c:pt>
                <c:pt idx="4">
                  <c:v>Real Estate</c:v>
                </c:pt>
                <c:pt idx="5">
                  <c:v>Information &amp; Communications</c:v>
                </c:pt>
                <c:pt idx="6">
                  <c:v>Financial &amp; Insurance</c:v>
                </c:pt>
                <c:pt idx="7">
                  <c:v>Transport &amp; Storage</c:v>
                </c:pt>
                <c:pt idx="8">
                  <c:v>Administrative &amp; Support Service</c:v>
                </c:pt>
                <c:pt idx="9">
                  <c:v>Public Administration &amp; Defence</c:v>
                </c:pt>
                <c:pt idx="10">
                  <c:v>Professional, Scientific &amp; Technical</c:v>
                </c:pt>
                <c:pt idx="11">
                  <c:v>Other</c:v>
                </c:pt>
                <c:pt idx="12">
                  <c:v>Accommodation &amp; Food Activities</c:v>
                </c:pt>
                <c:pt idx="13">
                  <c:v>Construction</c:v>
                </c:pt>
                <c:pt idx="14">
                  <c:v>Education</c:v>
                </c:pt>
                <c:pt idx="15">
                  <c:v>Manufacturing</c:v>
                </c:pt>
                <c:pt idx="16">
                  <c:v>Human Health &amp; Social Work</c:v>
                </c:pt>
                <c:pt idx="17">
                  <c:v>Wholesale, Retail &amp; Vehicle Repair</c:v>
                </c:pt>
              </c:strCache>
            </c:strRef>
          </c:cat>
          <c:val>
            <c:numRef>
              <c:f>Kendal!$B$154:$B$171</c:f>
              <c:numCache>
                <c:formatCode>0.0%</c:formatCode>
                <c:ptCount val="18"/>
                <c:pt idx="0">
                  <c:v>1.7681232634503663E-3</c:v>
                </c:pt>
                <c:pt idx="1">
                  <c:v>6.1252841626673405E-3</c:v>
                </c:pt>
                <c:pt idx="2">
                  <c:v>6.4410204597120484E-3</c:v>
                </c:pt>
                <c:pt idx="3">
                  <c:v>8.6511745390250062E-3</c:v>
                </c:pt>
                <c:pt idx="4">
                  <c:v>1.1429653953018438E-2</c:v>
                </c:pt>
                <c:pt idx="5">
                  <c:v>1.7239201818641071E-2</c:v>
                </c:pt>
                <c:pt idx="6">
                  <c:v>2.178580449608487E-2</c:v>
                </c:pt>
                <c:pt idx="7">
                  <c:v>3.4036372821419553E-2</c:v>
                </c:pt>
                <c:pt idx="8">
                  <c:v>3.8014650164182873E-2</c:v>
                </c:pt>
                <c:pt idx="9">
                  <c:v>4.237181106339985E-2</c:v>
                </c:pt>
                <c:pt idx="10">
                  <c:v>4.6476382924981054E-2</c:v>
                </c:pt>
                <c:pt idx="11">
                  <c:v>5.6958827986865371E-2</c:v>
                </c:pt>
                <c:pt idx="12">
                  <c:v>7.8555190704723415E-2</c:v>
                </c:pt>
                <c:pt idx="13">
                  <c:v>8.7648396059611014E-2</c:v>
                </c:pt>
                <c:pt idx="14">
                  <c:v>9.7878252083859557E-2</c:v>
                </c:pt>
                <c:pt idx="15">
                  <c:v>9.8825460974993687E-2</c:v>
                </c:pt>
                <c:pt idx="16">
                  <c:v>0.12541045718615812</c:v>
                </c:pt>
                <c:pt idx="17">
                  <c:v>0.22038393533720638</c:v>
                </c:pt>
              </c:numCache>
            </c:numRef>
          </c:val>
        </c:ser>
        <c:dLbls>
          <c:showLegendKey val="0"/>
          <c:showVal val="0"/>
          <c:showCatName val="0"/>
          <c:showSerName val="0"/>
          <c:showPercent val="0"/>
          <c:showBubbleSize val="0"/>
        </c:dLbls>
        <c:gapWidth val="150"/>
        <c:axId val="173449216"/>
        <c:axId val="173450752"/>
      </c:barChart>
      <c:catAx>
        <c:axId val="173449216"/>
        <c:scaling>
          <c:orientation val="minMax"/>
        </c:scaling>
        <c:delete val="0"/>
        <c:axPos val="l"/>
        <c:majorTickMark val="out"/>
        <c:minorTickMark val="none"/>
        <c:tickLblPos val="nextTo"/>
        <c:crossAx val="173450752"/>
        <c:crosses val="autoZero"/>
        <c:auto val="1"/>
        <c:lblAlgn val="ctr"/>
        <c:lblOffset val="100"/>
        <c:noMultiLvlLbl val="0"/>
      </c:catAx>
      <c:valAx>
        <c:axId val="173450752"/>
        <c:scaling>
          <c:orientation val="minMax"/>
        </c:scaling>
        <c:delete val="0"/>
        <c:axPos val="b"/>
        <c:majorGridlines/>
        <c:title>
          <c:tx>
            <c:rich>
              <a:bodyPr/>
              <a:lstStyle/>
              <a:p>
                <a:pPr>
                  <a:defRPr/>
                </a:pPr>
                <a:r>
                  <a:rPr lang="en-GB"/>
                  <a:t>Percentage</a:t>
                </a:r>
                <a:r>
                  <a:rPr lang="en-GB" baseline="0"/>
                  <a:t> of working age population</a:t>
                </a:r>
                <a:endParaRPr lang="en-GB"/>
              </a:p>
            </c:rich>
          </c:tx>
          <c:layout/>
          <c:overlay val="0"/>
        </c:title>
        <c:numFmt formatCode="0%" sourceLinked="0"/>
        <c:majorTickMark val="out"/>
        <c:minorTickMark val="none"/>
        <c:tickLblPos val="nextTo"/>
        <c:crossAx val="17344921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2A6"/>
    <w:rsid w:val="003132A6"/>
    <w:rsid w:val="00BC1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91003C371C45509FA7943DB28EA9BC">
    <w:name w:val="FD91003C371C45509FA7943DB28EA9BC"/>
    <w:rsid w:val="003132A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91003C371C45509FA7943DB28EA9BC">
    <w:name w:val="FD91003C371C45509FA7943DB28EA9BC"/>
    <w:rsid w:val="003132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871DED0F4CB14C97369B1FFB6A2401" ma:contentTypeVersion="1" ma:contentTypeDescription="Create a new document." ma:contentTypeScope="" ma:versionID="6e9bddd81f96fffd8136420a35c4fd03">
  <xsd:schema xmlns:xsd="http://www.w3.org/2001/XMLSchema" xmlns:xs="http://www.w3.org/2001/XMLSchema" xmlns:p="http://schemas.microsoft.com/office/2006/metadata/properties" xmlns:ns2="02b900d4-d2f7-4aa8-9745-f451995d8cbb" targetNamespace="http://schemas.microsoft.com/office/2006/metadata/properties" ma:root="true" ma:fieldsID="ebc6ab8f57368238f1510d190b690069" ns2:_="">
    <xsd:import namespace="02b900d4-d2f7-4aa8-9745-f451995d8cbb"/>
    <xsd:element name="properties">
      <xsd:complexType>
        <xsd:sequence>
          <xsd:element name="documentManagement">
            <xsd:complexType>
              <xsd:all>
                <xsd:element ref="ns2:hb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900d4-d2f7-4aa8-9745-f451995d8cbb" elementFormDefault="qualified">
    <xsd:import namespace="http://schemas.microsoft.com/office/2006/documentManagement/types"/>
    <xsd:import namespace="http://schemas.microsoft.com/office/infopath/2007/PartnerControls"/>
    <xsd:element name="hbts" ma:index="8" nillable="true" ma:displayName="Text" ma:internalName="hbt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bts xmlns="02b900d4-d2f7-4aa8-9745-f451995d8cbb">LAP Profiles</hbts>
  </documentManagement>
</p:properties>
</file>

<file path=customXml/itemProps1.xml><?xml version="1.0" encoding="utf-8"?>
<ds:datastoreItem xmlns:ds="http://schemas.openxmlformats.org/officeDocument/2006/customXml" ds:itemID="{DAF27E29-8E58-4667-B6D5-8B6A0BDBE108}"/>
</file>

<file path=customXml/itemProps2.xml><?xml version="1.0" encoding="utf-8"?>
<ds:datastoreItem xmlns:ds="http://schemas.openxmlformats.org/officeDocument/2006/customXml" ds:itemID="{3AAEE23A-F967-439E-A176-9AFA8E8723FF}"/>
</file>

<file path=customXml/itemProps3.xml><?xml version="1.0" encoding="utf-8"?>
<ds:datastoreItem xmlns:ds="http://schemas.openxmlformats.org/officeDocument/2006/customXml" ds:itemID="{C0C75CB8-7D1E-434B-A95C-BB2C5616DC39}"/>
</file>

<file path=customXml/itemProps4.xml><?xml version="1.0" encoding="utf-8"?>
<ds:datastoreItem xmlns:ds="http://schemas.openxmlformats.org/officeDocument/2006/customXml" ds:itemID="{7171E12F-8689-4FF1-B5D4-E04D8F4D1C5C}"/>
</file>

<file path=docProps/app.xml><?xml version="1.0" encoding="utf-8"?>
<Properties xmlns="http://schemas.openxmlformats.org/officeDocument/2006/extended-properties" xmlns:vt="http://schemas.openxmlformats.org/officeDocument/2006/docPropsVTypes">
  <Template>Normal</Template>
  <TotalTime>3322</TotalTime>
  <Pages>13</Pages>
  <Words>2865</Words>
  <Characters>16334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South Lakeland District Council</Company>
  <LinksUpToDate>false</LinksUpToDate>
  <CharactersWithSpaces>19161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Kendal Local Area Partnership Profile 2013</dc:creator>
  <cp:lastModifiedBy>Dugdale, Tom</cp:lastModifiedBy>
  <cp:revision>21</cp:revision>
  <dcterms:created xsi:type="dcterms:W3CDTF">2013-08-07T14:14:00Z</dcterms:created>
  <dcterms:modified xsi:type="dcterms:W3CDTF">2013-08-13T09:13:00Z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0x01010083871DED0F4CB14C97369B1FFB6A2401</vt:lpwstr>
  </property>
</Properties>
</file>